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bin" ContentType="application/vnd.openxmlformats-officedocument.wordprocessingml.printerSettings"/>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4A" w:rsidRDefault="00052A4A" w:rsidP="00997B75">
      <w:pPr>
        <w:spacing w:after="0" w:line="480" w:lineRule="auto"/>
        <w:jc w:val="center"/>
        <w:rPr>
          <w:rFonts w:ascii="Times New Roman" w:hAnsi="Times New Roman"/>
        </w:rPr>
      </w:pPr>
    </w:p>
    <w:p w:rsidR="00052A4A" w:rsidRDefault="00052A4A" w:rsidP="00997B75">
      <w:pPr>
        <w:spacing w:after="0" w:line="480" w:lineRule="auto"/>
        <w:jc w:val="center"/>
        <w:rPr>
          <w:rFonts w:ascii="Times New Roman" w:hAnsi="Times New Roman"/>
        </w:rPr>
      </w:pPr>
    </w:p>
    <w:p w:rsidR="003E5163" w:rsidRDefault="003E5163" w:rsidP="00997B75">
      <w:pPr>
        <w:spacing w:after="0" w:line="480" w:lineRule="auto"/>
        <w:jc w:val="center"/>
        <w:rPr>
          <w:rFonts w:ascii="Times New Roman" w:hAnsi="Times New Roman"/>
        </w:rPr>
      </w:pPr>
    </w:p>
    <w:p w:rsidR="003E5163" w:rsidRDefault="003E5163" w:rsidP="00997B75">
      <w:pPr>
        <w:spacing w:after="0" w:line="480" w:lineRule="auto"/>
        <w:jc w:val="center"/>
        <w:rPr>
          <w:rFonts w:ascii="Times New Roman" w:hAnsi="Times New Roman"/>
        </w:rPr>
      </w:pPr>
    </w:p>
    <w:p w:rsidR="003E5163" w:rsidRDefault="003E5163" w:rsidP="00997B75">
      <w:pPr>
        <w:spacing w:after="0" w:line="480" w:lineRule="auto"/>
        <w:jc w:val="center"/>
        <w:rPr>
          <w:rFonts w:ascii="Times New Roman" w:hAnsi="Times New Roman"/>
        </w:rPr>
      </w:pPr>
    </w:p>
    <w:p w:rsidR="00052A4A" w:rsidRDefault="00052A4A" w:rsidP="003E5163">
      <w:pPr>
        <w:spacing w:after="0" w:line="480" w:lineRule="auto"/>
        <w:rPr>
          <w:rFonts w:ascii="Times New Roman" w:hAnsi="Times New Roman"/>
        </w:rPr>
      </w:pPr>
    </w:p>
    <w:p w:rsidR="00052A4A" w:rsidRDefault="00052A4A" w:rsidP="00997B75">
      <w:pPr>
        <w:spacing w:after="0" w:line="480" w:lineRule="auto"/>
        <w:jc w:val="center"/>
        <w:rPr>
          <w:rFonts w:ascii="Times New Roman" w:hAnsi="Times New Roman"/>
        </w:rPr>
      </w:pPr>
    </w:p>
    <w:p w:rsidR="00052A4A" w:rsidRDefault="00052A4A" w:rsidP="00997B75">
      <w:pPr>
        <w:spacing w:after="0" w:line="480" w:lineRule="auto"/>
        <w:jc w:val="center"/>
        <w:rPr>
          <w:rFonts w:ascii="Times New Roman" w:hAnsi="Times New Roman"/>
        </w:rPr>
      </w:pPr>
    </w:p>
    <w:p w:rsidR="00052A4A" w:rsidRDefault="00052A4A" w:rsidP="00997B75">
      <w:pPr>
        <w:spacing w:after="0" w:line="480" w:lineRule="auto"/>
        <w:jc w:val="center"/>
        <w:rPr>
          <w:rFonts w:ascii="Times New Roman" w:hAnsi="Times New Roman"/>
        </w:rPr>
      </w:pPr>
    </w:p>
    <w:p w:rsidR="00052A4A" w:rsidRDefault="00052A4A" w:rsidP="00997B75">
      <w:pPr>
        <w:spacing w:after="0" w:line="480" w:lineRule="auto"/>
        <w:jc w:val="center"/>
        <w:rPr>
          <w:rFonts w:ascii="Times New Roman" w:hAnsi="Times New Roman"/>
        </w:rPr>
      </w:pPr>
    </w:p>
    <w:p w:rsidR="00052A4A" w:rsidRDefault="00052A4A" w:rsidP="00997B75">
      <w:pPr>
        <w:spacing w:after="0" w:line="480" w:lineRule="auto"/>
        <w:jc w:val="center"/>
        <w:rPr>
          <w:rFonts w:ascii="Times New Roman" w:hAnsi="Times New Roman"/>
        </w:rPr>
      </w:pPr>
      <w:r>
        <w:rPr>
          <w:rFonts w:ascii="Times New Roman" w:hAnsi="Times New Roman"/>
        </w:rPr>
        <w:t>Teaching Metacognitive Strategies to Improve Accuracy and Fluency When Decoding</w:t>
      </w:r>
    </w:p>
    <w:p w:rsidR="00052A4A" w:rsidRDefault="00052A4A" w:rsidP="00997B75">
      <w:pPr>
        <w:spacing w:after="0" w:line="480" w:lineRule="auto"/>
        <w:jc w:val="center"/>
        <w:rPr>
          <w:rFonts w:ascii="Times New Roman" w:hAnsi="Times New Roman"/>
        </w:rPr>
      </w:pPr>
      <w:r>
        <w:rPr>
          <w:rFonts w:ascii="Times New Roman" w:hAnsi="Times New Roman"/>
        </w:rPr>
        <w:t>Lauren Ciccarello</w:t>
      </w:r>
    </w:p>
    <w:p w:rsidR="00052A4A" w:rsidRDefault="00052A4A" w:rsidP="00997B75">
      <w:pPr>
        <w:spacing w:after="0" w:line="480" w:lineRule="auto"/>
        <w:jc w:val="center"/>
        <w:rPr>
          <w:rFonts w:ascii="Times New Roman" w:hAnsi="Times New Roman"/>
        </w:rPr>
      </w:pPr>
      <w:r>
        <w:rPr>
          <w:rFonts w:ascii="Times New Roman" w:hAnsi="Times New Roman"/>
        </w:rPr>
        <w:t>North Carolina State University</w:t>
      </w:r>
    </w:p>
    <w:p w:rsidR="00052A4A" w:rsidRDefault="00052A4A" w:rsidP="00723934">
      <w:pPr>
        <w:spacing w:after="0" w:line="480" w:lineRule="auto"/>
        <w:jc w:val="center"/>
        <w:rPr>
          <w:rFonts w:ascii="Times New Roman" w:hAnsi="Times New Roman"/>
        </w:rPr>
      </w:pPr>
    </w:p>
    <w:p w:rsidR="00997B75" w:rsidRDefault="00052A4A" w:rsidP="00723934">
      <w:pPr>
        <w:spacing w:after="0" w:line="480" w:lineRule="auto"/>
        <w:jc w:val="center"/>
        <w:rPr>
          <w:rFonts w:ascii="Times New Roman" w:hAnsi="Times New Roman"/>
        </w:rPr>
      </w:pPr>
      <w:r>
        <w:rPr>
          <w:rFonts w:ascii="Times New Roman" w:hAnsi="Times New Roman"/>
        </w:rPr>
        <w:br w:type="column"/>
        <w:t>Teaching Metacognitive Strategies to Improve Accuracy and Fluency When Decoding</w:t>
      </w:r>
    </w:p>
    <w:p w:rsidR="00997B75" w:rsidRPr="00812645" w:rsidRDefault="00997B75" w:rsidP="00E83277">
      <w:pPr>
        <w:spacing w:after="0" w:line="480" w:lineRule="auto"/>
        <w:jc w:val="center"/>
        <w:outlineLvl w:val="0"/>
        <w:rPr>
          <w:rFonts w:ascii="Times New Roman" w:hAnsi="Times New Roman"/>
          <w:b/>
        </w:rPr>
      </w:pPr>
      <w:r w:rsidRPr="00997B75">
        <w:rPr>
          <w:rFonts w:ascii="Times New Roman" w:hAnsi="Times New Roman"/>
          <w:b/>
        </w:rPr>
        <w:t>Introduction</w:t>
      </w:r>
    </w:p>
    <w:p w:rsidR="00D84B1B" w:rsidRDefault="00997B75" w:rsidP="00D84B1B">
      <w:pPr>
        <w:spacing w:after="0" w:line="480" w:lineRule="auto"/>
        <w:rPr>
          <w:rFonts w:ascii="Times New Roman" w:hAnsi="Times New Roman"/>
        </w:rPr>
      </w:pPr>
      <w:r>
        <w:rPr>
          <w:rFonts w:ascii="Times New Roman" w:hAnsi="Times New Roman"/>
        </w:rPr>
        <w:tab/>
        <w:t>I have taught second grade for two years</w:t>
      </w:r>
      <w:r w:rsidR="005970AC">
        <w:rPr>
          <w:rFonts w:ascii="Times New Roman" w:hAnsi="Times New Roman"/>
        </w:rPr>
        <w:t xml:space="preserve"> and previously taught special education before </w:t>
      </w:r>
      <w:r w:rsidR="00DF25D7">
        <w:rPr>
          <w:rFonts w:ascii="Times New Roman" w:hAnsi="Times New Roman"/>
        </w:rPr>
        <w:t>transitioning</w:t>
      </w:r>
      <w:r w:rsidR="005970AC">
        <w:rPr>
          <w:rFonts w:ascii="Times New Roman" w:hAnsi="Times New Roman"/>
        </w:rPr>
        <w:t xml:space="preserve"> to a regular education classroom. T</w:t>
      </w:r>
      <w:r>
        <w:rPr>
          <w:rFonts w:ascii="Times New Roman" w:hAnsi="Times New Roman"/>
        </w:rPr>
        <w:t>he area I have been most interested in stud</w:t>
      </w:r>
      <w:r w:rsidR="007B6D51">
        <w:rPr>
          <w:rFonts w:ascii="Times New Roman" w:hAnsi="Times New Roman"/>
        </w:rPr>
        <w:t>ying has been how to help my at-</w:t>
      </w:r>
      <w:r>
        <w:rPr>
          <w:rFonts w:ascii="Times New Roman" w:hAnsi="Times New Roman"/>
        </w:rPr>
        <w:t xml:space="preserve">risk readers improve their fluency and accuracy to become more proficient in their basic decoding skills.  Second grade is a </w:t>
      </w:r>
      <w:r w:rsidR="00126A41">
        <w:rPr>
          <w:rFonts w:ascii="Times New Roman" w:hAnsi="Times New Roman"/>
        </w:rPr>
        <w:t>critical</w:t>
      </w:r>
      <w:r>
        <w:rPr>
          <w:rFonts w:ascii="Times New Roman" w:hAnsi="Times New Roman"/>
        </w:rPr>
        <w:t xml:space="preserve"> year </w:t>
      </w:r>
      <w:r w:rsidR="00126A41">
        <w:rPr>
          <w:rFonts w:ascii="Times New Roman" w:hAnsi="Times New Roman"/>
        </w:rPr>
        <w:t xml:space="preserve">in elementary school for reading instruction.  As the last year of the primary grades, kindergarten through second, this is often one of the last </w:t>
      </w:r>
      <w:r w:rsidR="0074742B">
        <w:rPr>
          <w:rFonts w:ascii="Times New Roman" w:hAnsi="Times New Roman"/>
        </w:rPr>
        <w:t>years</w:t>
      </w:r>
      <w:r w:rsidR="00126A41">
        <w:rPr>
          <w:rFonts w:ascii="Times New Roman" w:hAnsi="Times New Roman"/>
        </w:rPr>
        <w:t xml:space="preserve"> students receive </w:t>
      </w:r>
      <w:r w:rsidR="005970AC">
        <w:rPr>
          <w:rFonts w:ascii="Times New Roman" w:hAnsi="Times New Roman"/>
        </w:rPr>
        <w:t xml:space="preserve">significant amounts of </w:t>
      </w:r>
      <w:r w:rsidR="00126A41">
        <w:rPr>
          <w:rFonts w:ascii="Times New Roman" w:hAnsi="Times New Roman"/>
        </w:rPr>
        <w:t xml:space="preserve">direct instruction in phonics and decoding skills. </w:t>
      </w:r>
      <w:r w:rsidR="005970AC">
        <w:rPr>
          <w:rFonts w:ascii="Times New Roman" w:hAnsi="Times New Roman"/>
        </w:rPr>
        <w:t xml:space="preserve"> </w:t>
      </w:r>
      <w:r w:rsidR="00126A41">
        <w:rPr>
          <w:rFonts w:ascii="Times New Roman" w:hAnsi="Times New Roman"/>
        </w:rPr>
        <w:t xml:space="preserve"> As students transition to the intermediate grades, three though five, students are expected to put their phonics knowledge to use and make the transition from “learning to read” to “</w:t>
      </w:r>
      <w:r w:rsidR="003E5163">
        <w:rPr>
          <w:rFonts w:ascii="Times New Roman" w:hAnsi="Times New Roman"/>
        </w:rPr>
        <w:t>reading to learn.”   I have observed that s</w:t>
      </w:r>
      <w:r w:rsidR="00126A41">
        <w:rPr>
          <w:rFonts w:ascii="Times New Roman" w:hAnsi="Times New Roman"/>
        </w:rPr>
        <w:t xml:space="preserve">tudents who are lacking in basic reading skills, especially the areas of </w:t>
      </w:r>
      <w:r w:rsidR="00E76E41">
        <w:rPr>
          <w:rFonts w:ascii="Times New Roman" w:hAnsi="Times New Roman"/>
        </w:rPr>
        <w:t xml:space="preserve">decoding </w:t>
      </w:r>
      <w:r w:rsidR="00126A41">
        <w:rPr>
          <w:rFonts w:ascii="Times New Roman" w:hAnsi="Times New Roman"/>
        </w:rPr>
        <w:t xml:space="preserve">accuracy and fluency, struggle considerably more with </w:t>
      </w:r>
      <w:r w:rsidR="00126A41" w:rsidRPr="00D84B1B">
        <w:rPr>
          <w:rFonts w:ascii="Times New Roman" w:hAnsi="Times New Roman"/>
        </w:rPr>
        <w:t>comprehension than their peers</w:t>
      </w:r>
      <w:r w:rsidR="0074742B">
        <w:rPr>
          <w:rFonts w:ascii="Times New Roman" w:hAnsi="Times New Roman"/>
        </w:rPr>
        <w:t xml:space="preserve"> (</w:t>
      </w:r>
      <w:proofErr w:type="spellStart"/>
      <w:r w:rsidR="0074742B">
        <w:rPr>
          <w:rFonts w:eastAsia="Times New Roman"/>
          <w:color w:val="121212"/>
        </w:rPr>
        <w:t>Nauclér</w:t>
      </w:r>
      <w:proofErr w:type="spellEnd"/>
      <w:r w:rsidR="0074742B">
        <w:rPr>
          <w:rFonts w:eastAsia="Times New Roman"/>
          <w:color w:val="121212"/>
        </w:rPr>
        <w:t xml:space="preserve"> &amp; Magnusson</w:t>
      </w:r>
      <w:r w:rsidR="00DF25D7">
        <w:rPr>
          <w:rFonts w:eastAsia="Times New Roman"/>
          <w:color w:val="121212"/>
        </w:rPr>
        <w:t xml:space="preserve">, </w:t>
      </w:r>
      <w:r w:rsidR="0074742B" w:rsidRPr="0074742B">
        <w:rPr>
          <w:rFonts w:eastAsia="Times New Roman"/>
          <w:color w:val="121212"/>
        </w:rPr>
        <w:t xml:space="preserve">2000). </w:t>
      </w:r>
    </w:p>
    <w:p w:rsidR="00D84B1B" w:rsidRDefault="00D84B1B" w:rsidP="00D84B1B">
      <w:pPr>
        <w:spacing w:after="0" w:line="480" w:lineRule="auto"/>
        <w:ind w:firstLine="720"/>
        <w:rPr>
          <w:rFonts w:ascii="Times New Roman" w:hAnsi="Times New Roman"/>
        </w:rPr>
      </w:pPr>
      <w:r w:rsidRPr="00D84B1B">
        <w:rPr>
          <w:rFonts w:ascii="Times New Roman" w:eastAsia="Times New Roman" w:hAnsi="Times New Roman"/>
          <w:color w:val="121212"/>
        </w:rPr>
        <w:t>My current reading program</w:t>
      </w:r>
      <w:r w:rsidR="00DF25D7">
        <w:rPr>
          <w:rFonts w:ascii="Times New Roman" w:eastAsia="Times New Roman" w:hAnsi="Times New Roman"/>
          <w:color w:val="121212"/>
        </w:rPr>
        <w:t xml:space="preserve"> is what would be considered a balanced</w:t>
      </w:r>
      <w:r w:rsidRPr="00D84B1B">
        <w:rPr>
          <w:rFonts w:ascii="Times New Roman" w:eastAsia="Times New Roman" w:hAnsi="Times New Roman"/>
          <w:color w:val="121212"/>
        </w:rPr>
        <w:t xml:space="preserve"> reading program. We have time devoted each day to phonics skills, comprehension strategies, vocabulary, guided reading</w:t>
      </w:r>
      <w:r w:rsidR="00DF25D7">
        <w:rPr>
          <w:rFonts w:ascii="Times New Roman" w:eastAsia="Times New Roman" w:hAnsi="Times New Roman"/>
          <w:color w:val="121212"/>
        </w:rPr>
        <w:t>,</w:t>
      </w:r>
      <w:r w:rsidRPr="00D84B1B">
        <w:rPr>
          <w:rFonts w:ascii="Times New Roman" w:eastAsia="Times New Roman" w:hAnsi="Times New Roman"/>
          <w:color w:val="121212"/>
        </w:rPr>
        <w:t xml:space="preserve"> and independent reading. The phonics portion of the curriculum is very scripted. I use th</w:t>
      </w:r>
      <w:r w:rsidR="0074742B">
        <w:rPr>
          <w:rFonts w:ascii="Times New Roman" w:eastAsia="Times New Roman" w:hAnsi="Times New Roman"/>
          <w:color w:val="121212"/>
        </w:rPr>
        <w:t xml:space="preserve">e Wilson Foundations </w:t>
      </w:r>
      <w:r w:rsidR="003F1C94">
        <w:rPr>
          <w:rFonts w:ascii="Times New Roman" w:eastAsia="Times New Roman" w:hAnsi="Times New Roman"/>
          <w:color w:val="121212"/>
        </w:rPr>
        <w:t>program, which</w:t>
      </w:r>
      <w:r w:rsidRPr="00D84B1B">
        <w:rPr>
          <w:rFonts w:ascii="Times New Roman" w:eastAsia="Times New Roman" w:hAnsi="Times New Roman"/>
          <w:color w:val="121212"/>
        </w:rPr>
        <w:t xml:space="preserve"> provides students with direct instruction in phonics rules and specific targeted practice in these rules. For comprehension and guided reading, I use a combination of lessons from the district’s basal reader, Houghton Mifflin, and reading strategies from the </w:t>
      </w:r>
      <w:r w:rsidRPr="00D84B1B">
        <w:rPr>
          <w:rFonts w:ascii="Times New Roman" w:eastAsia="Times New Roman" w:hAnsi="Times New Roman"/>
          <w:i/>
          <w:color w:val="121212"/>
        </w:rPr>
        <w:t>Daily Five</w:t>
      </w:r>
      <w:r w:rsidRPr="00D84B1B">
        <w:rPr>
          <w:rFonts w:ascii="Times New Roman" w:eastAsia="Times New Roman" w:hAnsi="Times New Roman"/>
          <w:color w:val="121212"/>
        </w:rPr>
        <w:t xml:space="preserve"> and </w:t>
      </w:r>
      <w:r w:rsidRPr="00D84B1B">
        <w:rPr>
          <w:rFonts w:ascii="Times New Roman" w:eastAsia="Times New Roman" w:hAnsi="Times New Roman"/>
          <w:i/>
          <w:color w:val="121212"/>
        </w:rPr>
        <w:t>Café</w:t>
      </w:r>
      <w:r w:rsidRPr="00D84B1B">
        <w:rPr>
          <w:rFonts w:ascii="Times New Roman" w:eastAsia="Times New Roman" w:hAnsi="Times New Roman"/>
          <w:color w:val="121212"/>
        </w:rPr>
        <w:t xml:space="preserve"> books written by Gaily Boushey and Joan Moser (2009). Throughout the course of the week, students participate in literacy activities independently, in pairs, and in groups lead by the teacher to address comprehension skills, fluency, accuracy, and vocabulary development. There are whole group lessons that all students participate in as well as small group lessons that are tailored to the reading level of students in the group. </w:t>
      </w:r>
    </w:p>
    <w:p w:rsidR="00812645" w:rsidRDefault="00D84B1B" w:rsidP="00D84B1B">
      <w:pPr>
        <w:spacing w:after="0" w:line="480" w:lineRule="auto"/>
        <w:ind w:firstLine="720"/>
        <w:rPr>
          <w:rFonts w:ascii="Times New Roman" w:hAnsi="Times New Roman"/>
        </w:rPr>
      </w:pPr>
      <w:r w:rsidRPr="00D84B1B">
        <w:rPr>
          <w:rFonts w:ascii="Times New Roman" w:hAnsi="Times New Roman"/>
        </w:rPr>
        <w:t xml:space="preserve">Despite this balanced </w:t>
      </w:r>
      <w:r>
        <w:rPr>
          <w:rFonts w:ascii="Times New Roman" w:hAnsi="Times New Roman"/>
        </w:rPr>
        <w:t>reading instruction</w:t>
      </w:r>
      <w:r w:rsidRPr="00D84B1B">
        <w:rPr>
          <w:rFonts w:ascii="Times New Roman" w:hAnsi="Times New Roman"/>
        </w:rPr>
        <w:t>,</w:t>
      </w:r>
      <w:r w:rsidR="00812645" w:rsidRPr="00D84B1B">
        <w:rPr>
          <w:rFonts w:ascii="Times New Roman" w:hAnsi="Times New Roman"/>
        </w:rPr>
        <w:t xml:space="preserve"> two students in my class, A</w:t>
      </w:r>
      <w:r w:rsidR="0074742B">
        <w:rPr>
          <w:rFonts w:ascii="Times New Roman" w:hAnsi="Times New Roman"/>
        </w:rPr>
        <w:t>. and J., were identified as at-</w:t>
      </w:r>
      <w:r w:rsidR="00812645" w:rsidRPr="00D84B1B">
        <w:rPr>
          <w:rFonts w:ascii="Times New Roman" w:hAnsi="Times New Roman"/>
        </w:rPr>
        <w:t xml:space="preserve">risk readers based on universal benchmarking that was done in the beginning of the year. </w:t>
      </w:r>
      <w:r w:rsidR="00DF25D7">
        <w:rPr>
          <w:rFonts w:ascii="Times New Roman" w:hAnsi="Times New Roman"/>
        </w:rPr>
        <w:t xml:space="preserve">Fall benchmark is 60 words correct per minute with at least 95% accuracy. </w:t>
      </w:r>
      <w:r w:rsidR="00812645" w:rsidRPr="00D84B1B">
        <w:rPr>
          <w:rFonts w:ascii="Times New Roman" w:hAnsi="Times New Roman"/>
        </w:rPr>
        <w:t>These students had slightly b</w:t>
      </w:r>
      <w:r w:rsidR="00812645">
        <w:rPr>
          <w:rFonts w:ascii="Times New Roman" w:hAnsi="Times New Roman"/>
        </w:rPr>
        <w:t>elow average scores in reading fluency and accura</w:t>
      </w:r>
      <w:r w:rsidR="003E5163">
        <w:rPr>
          <w:rFonts w:ascii="Times New Roman" w:hAnsi="Times New Roman"/>
        </w:rPr>
        <w:t>cy based on the Aimsweb Reading-</w:t>
      </w:r>
      <w:r w:rsidR="00812645">
        <w:rPr>
          <w:rFonts w:ascii="Times New Roman" w:hAnsi="Times New Roman"/>
        </w:rPr>
        <w:t>Curriculum Based Measure</w:t>
      </w:r>
      <w:r w:rsidR="003E5163">
        <w:rPr>
          <w:rFonts w:ascii="Times New Roman" w:hAnsi="Times New Roman"/>
        </w:rPr>
        <w:t xml:space="preserve"> (R-CBM)</w:t>
      </w:r>
      <w:r w:rsidR="00812645">
        <w:rPr>
          <w:rFonts w:ascii="Times New Roman" w:hAnsi="Times New Roman"/>
        </w:rPr>
        <w:t>.</w:t>
      </w:r>
      <w:r w:rsidR="00DF25D7">
        <w:rPr>
          <w:rFonts w:ascii="Times New Roman" w:hAnsi="Times New Roman"/>
        </w:rPr>
        <w:t xml:space="preserve">  </w:t>
      </w:r>
      <w:r w:rsidR="00812645">
        <w:rPr>
          <w:rFonts w:ascii="Times New Roman" w:hAnsi="Times New Roman"/>
        </w:rPr>
        <w:t xml:space="preserve">  This tool measures how many words correct per min</w:t>
      </w:r>
      <w:r w:rsidR="003E5163">
        <w:rPr>
          <w:rFonts w:ascii="Times New Roman" w:hAnsi="Times New Roman"/>
        </w:rPr>
        <w:t xml:space="preserve">ute the student read and </w:t>
      </w:r>
      <w:r w:rsidR="00812645">
        <w:rPr>
          <w:rFonts w:ascii="Times New Roman" w:hAnsi="Times New Roman"/>
        </w:rPr>
        <w:t xml:space="preserve">their percentage of words read correctly. </w:t>
      </w:r>
      <w:r w:rsidR="008E1D67">
        <w:rPr>
          <w:rFonts w:ascii="Times New Roman" w:hAnsi="Times New Roman"/>
        </w:rPr>
        <w:t xml:space="preserve"> A. read 57 words correct per minute with an accuracy rate of </w:t>
      </w:r>
      <w:r w:rsidR="002720AC">
        <w:rPr>
          <w:rFonts w:ascii="Times New Roman" w:hAnsi="Times New Roman"/>
        </w:rPr>
        <w:t>86.4</w:t>
      </w:r>
      <w:r w:rsidR="008E1D67">
        <w:rPr>
          <w:rFonts w:ascii="Times New Roman" w:hAnsi="Times New Roman"/>
        </w:rPr>
        <w:t xml:space="preserve">%.  J. read 37 words correct per minute with an accuracy rate of </w:t>
      </w:r>
      <w:r w:rsidR="002720AC">
        <w:rPr>
          <w:rFonts w:ascii="Times New Roman" w:hAnsi="Times New Roman"/>
        </w:rPr>
        <w:t>86</w:t>
      </w:r>
      <w:r w:rsidR="008E1D67">
        <w:rPr>
          <w:rFonts w:ascii="Times New Roman" w:hAnsi="Times New Roman"/>
        </w:rPr>
        <w:t>%</w:t>
      </w:r>
      <w:r w:rsidR="002720AC">
        <w:rPr>
          <w:rFonts w:ascii="Times New Roman" w:hAnsi="Times New Roman"/>
        </w:rPr>
        <w:t>.</w:t>
      </w:r>
      <w:r w:rsidR="008E1D67">
        <w:rPr>
          <w:rFonts w:ascii="Times New Roman" w:hAnsi="Times New Roman"/>
        </w:rPr>
        <w:t xml:space="preserve"> </w:t>
      </w:r>
      <w:r w:rsidR="00812645">
        <w:rPr>
          <w:rFonts w:ascii="Times New Roman" w:hAnsi="Times New Roman"/>
        </w:rPr>
        <w:t xml:space="preserve"> Additionally, through classroom observation, I also noted that</w:t>
      </w:r>
      <w:r w:rsidR="00DF25D7">
        <w:rPr>
          <w:rFonts w:ascii="Times New Roman" w:hAnsi="Times New Roman"/>
        </w:rPr>
        <w:t xml:space="preserve"> both</w:t>
      </w:r>
      <w:r w:rsidR="00812645">
        <w:rPr>
          <w:rFonts w:ascii="Times New Roman" w:hAnsi="Times New Roman"/>
        </w:rPr>
        <w:t xml:space="preserve"> these students had grade level comprehension skills and tended to make many visual miscues.  The</w:t>
      </w:r>
      <w:r w:rsidR="00C94438">
        <w:rPr>
          <w:rFonts w:ascii="Times New Roman" w:hAnsi="Times New Roman"/>
        </w:rPr>
        <w:t>y seemed</w:t>
      </w:r>
      <w:r w:rsidR="00812645">
        <w:rPr>
          <w:rFonts w:ascii="Times New Roman" w:hAnsi="Times New Roman"/>
        </w:rPr>
        <w:t xml:space="preserve"> to be more focused on getting through</w:t>
      </w:r>
      <w:r w:rsidR="00DF25D7">
        <w:rPr>
          <w:rFonts w:ascii="Times New Roman" w:hAnsi="Times New Roman"/>
        </w:rPr>
        <w:t xml:space="preserve"> the text they were reading than</w:t>
      </w:r>
      <w:r w:rsidR="00812645">
        <w:rPr>
          <w:rFonts w:ascii="Times New Roman" w:hAnsi="Times New Roman"/>
        </w:rPr>
        <w:t xml:space="preserve"> making sure to go back and correct errors they made or to attempt to decode words they did not know.  When they encountered an unknown word, they tended to make guesses based on the first letter and move on without making sure what they said made sense.</w:t>
      </w:r>
      <w:r w:rsidR="00DF25D7">
        <w:rPr>
          <w:rFonts w:ascii="Times New Roman" w:hAnsi="Times New Roman"/>
        </w:rPr>
        <w:t xml:space="preserve"> A. </w:t>
      </w:r>
      <w:proofErr w:type="gramStart"/>
      <w:r w:rsidR="00DF25D7">
        <w:rPr>
          <w:rFonts w:ascii="Times New Roman" w:hAnsi="Times New Roman"/>
        </w:rPr>
        <w:t>had</w:t>
      </w:r>
      <w:proofErr w:type="gramEnd"/>
      <w:r w:rsidR="00DF25D7">
        <w:rPr>
          <w:rFonts w:ascii="Times New Roman" w:hAnsi="Times New Roman"/>
        </w:rPr>
        <w:t xml:space="preserve"> difficulty with letter reversals (b, d, p, q) and word reversals (saw for was).  A. </w:t>
      </w:r>
      <w:proofErr w:type="gramStart"/>
      <w:r w:rsidR="00DF25D7">
        <w:rPr>
          <w:rFonts w:ascii="Times New Roman" w:hAnsi="Times New Roman"/>
        </w:rPr>
        <w:t>also</w:t>
      </w:r>
      <w:proofErr w:type="gramEnd"/>
      <w:r w:rsidR="00DF25D7">
        <w:rPr>
          <w:rFonts w:ascii="Times New Roman" w:hAnsi="Times New Roman"/>
        </w:rPr>
        <w:t xml:space="preserve"> mumbled and seemed to brush over longer words that would require some effort to decode.  J. </w:t>
      </w:r>
      <w:proofErr w:type="gramStart"/>
      <w:r w:rsidR="00DF25D7">
        <w:rPr>
          <w:rFonts w:ascii="Times New Roman" w:hAnsi="Times New Roman"/>
        </w:rPr>
        <w:t>did</w:t>
      </w:r>
      <w:proofErr w:type="gramEnd"/>
      <w:r w:rsidR="00DF25D7">
        <w:rPr>
          <w:rFonts w:ascii="Times New Roman" w:hAnsi="Times New Roman"/>
        </w:rPr>
        <w:t xml:space="preserve"> not display letter or word reversals when reading but he often would not attempt words that were longer or that looked difficult.  He would say the first sound or syllable and then stop and skip or mumble through the rest of the word.  J. </w:t>
      </w:r>
      <w:proofErr w:type="gramStart"/>
      <w:r w:rsidR="00DF25D7">
        <w:rPr>
          <w:rFonts w:ascii="Times New Roman" w:hAnsi="Times New Roman"/>
        </w:rPr>
        <w:t>often</w:t>
      </w:r>
      <w:proofErr w:type="gramEnd"/>
      <w:r w:rsidR="00DF25D7">
        <w:rPr>
          <w:rFonts w:ascii="Times New Roman" w:hAnsi="Times New Roman"/>
        </w:rPr>
        <w:t xml:space="preserve"> looked to me</w:t>
      </w:r>
      <w:r w:rsidR="00FE4F89">
        <w:rPr>
          <w:rFonts w:ascii="Times New Roman" w:hAnsi="Times New Roman"/>
        </w:rPr>
        <w:t>, the teacher,</w:t>
      </w:r>
      <w:r w:rsidR="00DF25D7">
        <w:rPr>
          <w:rFonts w:ascii="Times New Roman" w:hAnsi="Times New Roman"/>
        </w:rPr>
        <w:t xml:space="preserve"> for clues or hints to decode the word.</w:t>
      </w:r>
      <w:r w:rsidR="00812645">
        <w:rPr>
          <w:rFonts w:ascii="Times New Roman" w:hAnsi="Times New Roman"/>
        </w:rPr>
        <w:t xml:space="preserve"> </w:t>
      </w:r>
      <w:r w:rsidR="009F009C">
        <w:rPr>
          <w:rFonts w:ascii="Times New Roman" w:hAnsi="Times New Roman"/>
        </w:rPr>
        <w:t xml:space="preserve"> The data from the benchmarking and my classroom observation made me worried.  I knew from my experiences in special education that students who do not have firm foundations with decoding lack skills necessary to read and comprehend more difficult texts</w:t>
      </w:r>
      <w:r w:rsidR="00C94438">
        <w:rPr>
          <w:rFonts w:ascii="Times New Roman" w:hAnsi="Times New Roman"/>
        </w:rPr>
        <w:t xml:space="preserve"> independently</w:t>
      </w:r>
      <w:r w:rsidR="009F009C">
        <w:rPr>
          <w:rFonts w:ascii="Times New Roman" w:hAnsi="Times New Roman"/>
        </w:rPr>
        <w:t xml:space="preserve">. I wanted to find a way to help my students apply their phonetic knowledge more accurately and automatically to become more </w:t>
      </w:r>
      <w:r w:rsidR="003E5163">
        <w:rPr>
          <w:rFonts w:ascii="Times New Roman" w:hAnsi="Times New Roman"/>
        </w:rPr>
        <w:t>proficient</w:t>
      </w:r>
      <w:r w:rsidR="009F009C">
        <w:rPr>
          <w:rFonts w:ascii="Times New Roman" w:hAnsi="Times New Roman"/>
        </w:rPr>
        <w:t xml:space="preserve"> readers. </w:t>
      </w:r>
    </w:p>
    <w:p w:rsidR="005970AC" w:rsidRPr="00812645" w:rsidRDefault="00812645" w:rsidP="00E83277">
      <w:pPr>
        <w:spacing w:after="0" w:line="480" w:lineRule="auto"/>
        <w:outlineLvl w:val="0"/>
        <w:rPr>
          <w:rFonts w:ascii="Times New Roman" w:hAnsi="Times New Roman"/>
          <w:b/>
        </w:rPr>
      </w:pPr>
      <w:r w:rsidRPr="00812645">
        <w:rPr>
          <w:rFonts w:ascii="Times New Roman" w:hAnsi="Times New Roman"/>
          <w:b/>
        </w:rPr>
        <w:t>Research Question</w:t>
      </w:r>
    </w:p>
    <w:p w:rsidR="005970AC" w:rsidRPr="001B3AA8" w:rsidRDefault="00812645" w:rsidP="00723934">
      <w:pPr>
        <w:spacing w:after="0" w:line="480" w:lineRule="auto"/>
        <w:ind w:firstLine="720"/>
        <w:rPr>
          <w:rFonts w:ascii="Times New Roman" w:hAnsi="Times New Roman"/>
        </w:rPr>
      </w:pPr>
      <w:r>
        <w:rPr>
          <w:rFonts w:ascii="Times New Roman" w:hAnsi="Times New Roman"/>
        </w:rPr>
        <w:t>Most commonly, metacognitive strategies, or strategies that involve thinking about your own learning process, are used to help students improve their com</w:t>
      </w:r>
      <w:r w:rsidR="009F009C">
        <w:rPr>
          <w:rFonts w:ascii="Times New Roman" w:hAnsi="Times New Roman"/>
        </w:rPr>
        <w:t>prehension</w:t>
      </w:r>
      <w:r w:rsidR="00DF25D7">
        <w:rPr>
          <w:rFonts w:ascii="Times New Roman" w:hAnsi="Times New Roman"/>
        </w:rPr>
        <w:t xml:space="preserve"> (Swanson &amp; De La Paz, 1998)</w:t>
      </w:r>
      <w:r w:rsidR="009F009C">
        <w:rPr>
          <w:rFonts w:ascii="Times New Roman" w:hAnsi="Times New Roman"/>
        </w:rPr>
        <w:t>.  I knew that the students I was working with also need</w:t>
      </w:r>
      <w:r w:rsidR="001B3AA8">
        <w:rPr>
          <w:rFonts w:ascii="Times New Roman" w:hAnsi="Times New Roman"/>
        </w:rPr>
        <w:t>ed</w:t>
      </w:r>
      <w:r w:rsidR="009F009C">
        <w:rPr>
          <w:rFonts w:ascii="Times New Roman" w:hAnsi="Times New Roman"/>
        </w:rPr>
        <w:t xml:space="preserve"> to begin thinking about their reading process</w:t>
      </w:r>
      <w:r w:rsidR="001B3AA8">
        <w:rPr>
          <w:rFonts w:ascii="Times New Roman" w:hAnsi="Times New Roman"/>
        </w:rPr>
        <w:t xml:space="preserve"> and how to quickly and accurately apply their knowledge of phonics</w:t>
      </w:r>
      <w:r w:rsidR="00E76E41">
        <w:rPr>
          <w:rFonts w:ascii="Times New Roman" w:hAnsi="Times New Roman"/>
        </w:rPr>
        <w:t xml:space="preserve"> and to go back and correct mistakes they had made</w:t>
      </w:r>
      <w:r w:rsidR="001B3AA8">
        <w:rPr>
          <w:rFonts w:ascii="Times New Roman" w:hAnsi="Times New Roman"/>
        </w:rPr>
        <w:t>.  I also knew that with students who struggled with phonics, they needed to be given</w:t>
      </w:r>
      <w:r w:rsidR="0074742B">
        <w:rPr>
          <w:rFonts w:ascii="Times New Roman" w:hAnsi="Times New Roman"/>
        </w:rPr>
        <w:t xml:space="preserve"> repeated </w:t>
      </w:r>
      <w:r w:rsidR="001B3AA8">
        <w:rPr>
          <w:rFonts w:ascii="Times New Roman" w:hAnsi="Times New Roman"/>
        </w:rPr>
        <w:t xml:space="preserve">opportunities to practice skills they had learned to help them learn to use them quickly and automatically.  </w:t>
      </w:r>
      <w:r w:rsidR="00E76E41">
        <w:rPr>
          <w:rFonts w:ascii="Times New Roman" w:hAnsi="Times New Roman"/>
        </w:rPr>
        <w:t>Based on this,</w:t>
      </w:r>
      <w:r w:rsidR="001B3AA8">
        <w:rPr>
          <w:rFonts w:ascii="Times New Roman" w:hAnsi="Times New Roman"/>
        </w:rPr>
        <w:t xml:space="preserve"> I decided to focus on two questions: </w:t>
      </w:r>
      <w:r w:rsidR="001B3AA8">
        <w:rPr>
          <w:rFonts w:ascii="Times New Roman" w:hAnsi="Times New Roman"/>
          <w:i/>
        </w:rPr>
        <w:t>How does instruction in metacognitive strategies help students become aware of their reading accuracy and fluency? How does instruction in metacognitive strategies and the use of repeated reading exercises help students apply phonics skills when reading grade level texts</w:t>
      </w:r>
      <w:r w:rsidR="00E76E41">
        <w:rPr>
          <w:rFonts w:ascii="Times New Roman" w:hAnsi="Times New Roman"/>
          <w:i/>
        </w:rPr>
        <w:t xml:space="preserve"> as measured by oral reading fluency</w:t>
      </w:r>
      <w:r w:rsidR="001B3AA8">
        <w:rPr>
          <w:rFonts w:ascii="Times New Roman" w:hAnsi="Times New Roman"/>
          <w:i/>
        </w:rPr>
        <w:t>?</w:t>
      </w:r>
    </w:p>
    <w:p w:rsidR="007B6D51" w:rsidRDefault="00812645" w:rsidP="00E83277">
      <w:pPr>
        <w:spacing w:after="0" w:line="480" w:lineRule="auto"/>
        <w:outlineLvl w:val="0"/>
        <w:rPr>
          <w:rFonts w:ascii="Times New Roman" w:hAnsi="Times New Roman"/>
          <w:b/>
        </w:rPr>
      </w:pPr>
      <w:r>
        <w:rPr>
          <w:rFonts w:ascii="Times New Roman" w:hAnsi="Times New Roman"/>
          <w:b/>
        </w:rPr>
        <w:t>Ra</w:t>
      </w:r>
      <w:r w:rsidRPr="00812645">
        <w:rPr>
          <w:rFonts w:ascii="Times New Roman" w:hAnsi="Times New Roman"/>
          <w:b/>
        </w:rPr>
        <w:t>tionale</w:t>
      </w:r>
    </w:p>
    <w:p w:rsidR="007B6D51" w:rsidRDefault="007B6D51" w:rsidP="00E83277">
      <w:pPr>
        <w:spacing w:after="0" w:line="480" w:lineRule="auto"/>
        <w:ind w:firstLine="720"/>
        <w:outlineLvl w:val="0"/>
        <w:rPr>
          <w:rFonts w:ascii="Times New Roman" w:hAnsi="Times New Roman"/>
          <w:b/>
        </w:rPr>
      </w:pPr>
      <w:r>
        <w:rPr>
          <w:rFonts w:ascii="Times New Roman" w:hAnsi="Times New Roman"/>
          <w:b/>
        </w:rPr>
        <w:t>Fluency</w:t>
      </w:r>
      <w:r w:rsidR="00D55762">
        <w:rPr>
          <w:rFonts w:ascii="Times New Roman" w:hAnsi="Times New Roman"/>
          <w:b/>
        </w:rPr>
        <w:t xml:space="preserve"> and accuracy</w:t>
      </w:r>
      <w:r>
        <w:rPr>
          <w:rFonts w:ascii="Times New Roman" w:hAnsi="Times New Roman"/>
          <w:b/>
        </w:rPr>
        <w:t xml:space="preserve"> </w:t>
      </w:r>
      <w:r w:rsidR="00D55762">
        <w:rPr>
          <w:rFonts w:ascii="Times New Roman" w:hAnsi="Times New Roman"/>
          <w:b/>
        </w:rPr>
        <w:t xml:space="preserve">as </w:t>
      </w:r>
      <w:r>
        <w:rPr>
          <w:rFonts w:ascii="Times New Roman" w:hAnsi="Times New Roman"/>
          <w:b/>
        </w:rPr>
        <w:t>indicator</w:t>
      </w:r>
      <w:r w:rsidR="00D55762">
        <w:rPr>
          <w:rFonts w:ascii="Times New Roman" w:hAnsi="Times New Roman"/>
          <w:b/>
        </w:rPr>
        <w:t>s</w:t>
      </w:r>
      <w:r>
        <w:rPr>
          <w:rFonts w:ascii="Times New Roman" w:hAnsi="Times New Roman"/>
          <w:b/>
        </w:rPr>
        <w:t xml:space="preserve"> of reading success</w:t>
      </w:r>
    </w:p>
    <w:p w:rsidR="00E67C9F" w:rsidRDefault="007B6D51" w:rsidP="00723934">
      <w:pPr>
        <w:spacing w:after="0" w:line="480" w:lineRule="auto"/>
        <w:ind w:firstLine="720"/>
        <w:rPr>
          <w:rFonts w:ascii="Times New Roman" w:hAnsi="Times New Roman"/>
        </w:rPr>
      </w:pPr>
      <w:r>
        <w:rPr>
          <w:rFonts w:ascii="Times New Roman" w:hAnsi="Times New Roman"/>
        </w:rPr>
        <w:t>Fluency is the rate at which a student reads.  However, the rate at which a student reads is not the only important factor</w:t>
      </w:r>
      <w:r w:rsidR="00F9188F">
        <w:rPr>
          <w:rFonts w:ascii="Times New Roman" w:hAnsi="Times New Roman"/>
        </w:rPr>
        <w:t xml:space="preserve"> in reading well</w:t>
      </w:r>
      <w:r>
        <w:rPr>
          <w:rFonts w:ascii="Times New Roman" w:hAnsi="Times New Roman"/>
        </w:rPr>
        <w:t>.  Accuracy, or the percentage of words read correctly, is also important.  Fluency and accuracy are measures of students’ application of phonics skills, or how efficiently</w:t>
      </w:r>
      <w:r w:rsidR="00D55762">
        <w:rPr>
          <w:rFonts w:ascii="Times New Roman" w:hAnsi="Times New Roman"/>
        </w:rPr>
        <w:t xml:space="preserve"> they can decode words.  </w:t>
      </w:r>
      <w:r w:rsidR="00F9188F">
        <w:rPr>
          <w:rFonts w:ascii="Times New Roman" w:hAnsi="Times New Roman"/>
        </w:rPr>
        <w:t xml:space="preserve">Recent trends in the field of education focus exclusively on rate of reading as a predictor of reading success.  This is a much too simple explanation for the importance of developing fluency. </w:t>
      </w:r>
      <w:r w:rsidR="00E67C9F">
        <w:rPr>
          <w:rFonts w:ascii="Times New Roman" w:hAnsi="Times New Roman"/>
        </w:rPr>
        <w:t>Pickulski and Chard (2005) stated:</w:t>
      </w:r>
    </w:p>
    <w:p w:rsidR="00E67C9F" w:rsidRDefault="00E67C9F" w:rsidP="00723934">
      <w:pPr>
        <w:spacing w:after="0" w:line="480" w:lineRule="auto"/>
        <w:ind w:left="720"/>
        <w:rPr>
          <w:rFonts w:ascii="Times New Roman" w:hAnsi="Times New Roman"/>
        </w:rPr>
      </w:pPr>
      <w:r>
        <w:rPr>
          <w:rFonts w:ascii="Times New Roman" w:hAnsi="Times New Roman"/>
        </w:rPr>
        <w:t xml:space="preserve">A surface view of fluency leads to practices such as simply </w:t>
      </w:r>
      <w:r w:rsidR="0074742B">
        <w:rPr>
          <w:rFonts w:ascii="Times New Roman" w:hAnsi="Times New Roman"/>
        </w:rPr>
        <w:t xml:space="preserve">urging students to read faster. </w:t>
      </w:r>
      <w:r>
        <w:rPr>
          <w:rFonts w:ascii="Times New Roman" w:hAnsi="Times New Roman"/>
        </w:rPr>
        <w:t>On the other hand, a deep construct views fluency far more broadly as a</w:t>
      </w:r>
      <w:r w:rsidR="00807550">
        <w:rPr>
          <w:rFonts w:ascii="Times New Roman" w:hAnsi="Times New Roman"/>
        </w:rPr>
        <w:t xml:space="preserve"> </w:t>
      </w:r>
      <w:r>
        <w:rPr>
          <w:rFonts w:ascii="Times New Roman" w:hAnsi="Times New Roman"/>
        </w:rPr>
        <w:t>part of a developmental process of building decoding skills that will form a bridge to reading comprehension. (p.511)</w:t>
      </w:r>
      <w:r w:rsidR="00F9188F">
        <w:rPr>
          <w:rFonts w:ascii="Times New Roman" w:hAnsi="Times New Roman"/>
        </w:rPr>
        <w:t xml:space="preserve">   </w:t>
      </w:r>
    </w:p>
    <w:p w:rsidR="002E1D7B" w:rsidRDefault="00E67C9F" w:rsidP="00723934">
      <w:pPr>
        <w:spacing w:after="0" w:line="480" w:lineRule="auto"/>
        <w:rPr>
          <w:rFonts w:ascii="Times New Roman" w:hAnsi="Times New Roman"/>
        </w:rPr>
      </w:pPr>
      <w:r>
        <w:rPr>
          <w:rFonts w:ascii="Times New Roman" w:hAnsi="Times New Roman"/>
        </w:rPr>
        <w:t>It is important to consider the process of reading and how that is directly related to fluency and oral reading rate.  Students read to make meaning of text they have in front of them.  But in order to create meaning from text, they need to be able to efficiently</w:t>
      </w:r>
      <w:r w:rsidR="002E1D7B">
        <w:rPr>
          <w:rFonts w:ascii="Times New Roman" w:hAnsi="Times New Roman"/>
        </w:rPr>
        <w:t xml:space="preserve"> and automatically</w:t>
      </w:r>
      <w:r>
        <w:rPr>
          <w:rFonts w:ascii="Times New Roman" w:hAnsi="Times New Roman"/>
        </w:rPr>
        <w:t xml:space="preserve"> decode words.</w:t>
      </w:r>
      <w:r w:rsidR="002E1D7B">
        <w:rPr>
          <w:rFonts w:ascii="Times New Roman" w:hAnsi="Times New Roman"/>
        </w:rPr>
        <w:t xml:space="preserve"> </w:t>
      </w:r>
      <w:r>
        <w:rPr>
          <w:rFonts w:ascii="Times New Roman" w:hAnsi="Times New Roman"/>
        </w:rPr>
        <w:t xml:space="preserve"> </w:t>
      </w:r>
      <w:r w:rsidR="002E1D7B">
        <w:rPr>
          <w:rFonts w:ascii="Times New Roman" w:hAnsi="Times New Roman"/>
        </w:rPr>
        <w:t xml:space="preserve">If readers cannot decode words efficiently and automatically, they do not have the mental capacity to construct meaning from their text.  </w:t>
      </w:r>
      <w:r w:rsidR="00E76E41">
        <w:rPr>
          <w:rFonts w:ascii="Times New Roman" w:hAnsi="Times New Roman"/>
        </w:rPr>
        <w:t>The brain must switch between the two activities, decoding and comprehension, and as a result, reading become</w:t>
      </w:r>
      <w:r w:rsidR="0074742B">
        <w:rPr>
          <w:rFonts w:ascii="Times New Roman" w:hAnsi="Times New Roman"/>
        </w:rPr>
        <w:t>s</w:t>
      </w:r>
      <w:r w:rsidR="00E76E41">
        <w:rPr>
          <w:rFonts w:ascii="Times New Roman" w:hAnsi="Times New Roman"/>
        </w:rPr>
        <w:t xml:space="preserve"> more labor intensive and difficult than if one of these processes, decoding, was automatic (LaBerge and Samuels, 1974).   </w:t>
      </w:r>
    </w:p>
    <w:p w:rsidR="007B6D51" w:rsidRPr="001E7C5A" w:rsidRDefault="002E1D7B" w:rsidP="00723934">
      <w:pPr>
        <w:spacing w:after="0" w:line="480" w:lineRule="auto"/>
        <w:ind w:firstLine="720"/>
        <w:rPr>
          <w:rFonts w:ascii="Times New Roman" w:hAnsi="Times New Roman"/>
        </w:rPr>
      </w:pPr>
      <w:r>
        <w:rPr>
          <w:rFonts w:ascii="Times New Roman" w:hAnsi="Times New Roman"/>
        </w:rPr>
        <w:t xml:space="preserve">It takes time and practice for readers to become fluent.  </w:t>
      </w:r>
      <w:r w:rsidR="00D55762">
        <w:rPr>
          <w:rFonts w:ascii="Times New Roman" w:hAnsi="Times New Roman"/>
        </w:rPr>
        <w:t>According to Ehri</w:t>
      </w:r>
      <w:r w:rsidR="00166901">
        <w:rPr>
          <w:rFonts w:ascii="Times New Roman" w:hAnsi="Times New Roman"/>
        </w:rPr>
        <w:t xml:space="preserve"> (2005)</w:t>
      </w:r>
      <w:r w:rsidR="00D55762">
        <w:rPr>
          <w:rFonts w:ascii="Times New Roman" w:hAnsi="Times New Roman"/>
        </w:rPr>
        <w:t>, there are four ways to read words.  Decoding, or sou</w:t>
      </w:r>
      <w:r w:rsidR="00F9188F">
        <w:rPr>
          <w:rFonts w:ascii="Times New Roman" w:hAnsi="Times New Roman"/>
        </w:rPr>
        <w:t>n</w:t>
      </w:r>
      <w:r w:rsidR="00D55762">
        <w:rPr>
          <w:rFonts w:ascii="Times New Roman" w:hAnsi="Times New Roman"/>
        </w:rPr>
        <w:t xml:space="preserve">ding out and blending different </w:t>
      </w:r>
      <w:r w:rsidR="0074742B">
        <w:rPr>
          <w:rFonts w:ascii="Times New Roman" w:hAnsi="Times New Roman"/>
        </w:rPr>
        <w:t xml:space="preserve">sounds to form a complete word; </w:t>
      </w:r>
      <w:r w:rsidR="00D55762">
        <w:rPr>
          <w:rFonts w:ascii="Times New Roman" w:hAnsi="Times New Roman"/>
        </w:rPr>
        <w:t xml:space="preserve">analogizing, </w:t>
      </w:r>
      <w:r w:rsidR="00166901">
        <w:rPr>
          <w:rFonts w:ascii="Times New Roman" w:hAnsi="Times New Roman"/>
        </w:rPr>
        <w:t>which i</w:t>
      </w:r>
      <w:r w:rsidR="00D55762">
        <w:rPr>
          <w:rFonts w:ascii="Times New Roman" w:hAnsi="Times New Roman"/>
        </w:rPr>
        <w:t>s using known words to figure out unknown words, and prediction which is using context clu</w:t>
      </w:r>
      <w:r w:rsidR="00807550">
        <w:rPr>
          <w:rFonts w:ascii="Times New Roman" w:hAnsi="Times New Roman"/>
        </w:rPr>
        <w:t>es to guess at unfamiliar words.  A</w:t>
      </w:r>
      <w:r w:rsidR="00D55762">
        <w:rPr>
          <w:rFonts w:ascii="Times New Roman" w:hAnsi="Times New Roman"/>
        </w:rPr>
        <w:t>ll</w:t>
      </w:r>
      <w:r w:rsidR="00807550">
        <w:rPr>
          <w:rFonts w:ascii="Times New Roman" w:hAnsi="Times New Roman"/>
        </w:rPr>
        <w:t xml:space="preserve"> are</w:t>
      </w:r>
      <w:r w:rsidR="00D55762">
        <w:rPr>
          <w:rFonts w:ascii="Times New Roman" w:hAnsi="Times New Roman"/>
        </w:rPr>
        <w:t xml:space="preserve"> strategies to help students decode new</w:t>
      </w:r>
      <w:r w:rsidR="00807550">
        <w:rPr>
          <w:rFonts w:ascii="Times New Roman" w:hAnsi="Times New Roman"/>
        </w:rPr>
        <w:t>, unknown</w:t>
      </w:r>
      <w:r w:rsidR="00D55762">
        <w:rPr>
          <w:rFonts w:ascii="Times New Roman" w:hAnsi="Times New Roman"/>
        </w:rPr>
        <w:t xml:space="preserve"> words.  The fourth way, reading words by memory, is used only when students read words that they have see</w:t>
      </w:r>
      <w:r w:rsidR="00166901">
        <w:rPr>
          <w:rFonts w:ascii="Times New Roman" w:hAnsi="Times New Roman"/>
        </w:rPr>
        <w:t>n before and are familiar with</w:t>
      </w:r>
      <w:r w:rsidR="00D55762">
        <w:rPr>
          <w:rFonts w:ascii="Times New Roman" w:hAnsi="Times New Roman"/>
        </w:rPr>
        <w:t>.</w:t>
      </w:r>
      <w:r w:rsidR="00166901">
        <w:rPr>
          <w:rFonts w:ascii="Times New Roman" w:hAnsi="Times New Roman"/>
        </w:rPr>
        <w:t xml:space="preserve">  As students learn to read, they pass through phases of development in which the</w:t>
      </w:r>
      <w:r w:rsidR="00F9188F">
        <w:rPr>
          <w:rFonts w:ascii="Times New Roman" w:hAnsi="Times New Roman"/>
        </w:rPr>
        <w:t>y</w:t>
      </w:r>
      <w:r w:rsidR="00166901">
        <w:rPr>
          <w:rFonts w:ascii="Times New Roman" w:hAnsi="Times New Roman"/>
        </w:rPr>
        <w:t xml:space="preserve"> become increasingly skilled at decoding, analogizing, predicting and reading words from memory.  Students are more quick</w:t>
      </w:r>
      <w:r w:rsidR="00F9188F">
        <w:rPr>
          <w:rFonts w:ascii="Times New Roman" w:hAnsi="Times New Roman"/>
        </w:rPr>
        <w:t>ly and accurately able to segment and blend larger chunks of letters and units that make up words.  For example, early readers may need to bl</w:t>
      </w:r>
      <w:r w:rsidR="00C94438">
        <w:rPr>
          <w:rFonts w:ascii="Times New Roman" w:hAnsi="Times New Roman"/>
        </w:rPr>
        <w:t>end each letter of the word “ball</w:t>
      </w:r>
      <w:r w:rsidR="00F9188F">
        <w:rPr>
          <w:rFonts w:ascii="Times New Roman" w:hAnsi="Times New Roman"/>
        </w:rPr>
        <w:t xml:space="preserve">” to sound it out while an older reader may know that word from memory and can use it to sound out longer and more complex words.  </w:t>
      </w:r>
      <w:r w:rsidR="00C94438">
        <w:rPr>
          <w:rFonts w:ascii="Times New Roman" w:hAnsi="Times New Roman"/>
        </w:rPr>
        <w:t xml:space="preserve">Words like “baseball” can be broken down into syllables rather than sounding out each individual phoneme.  </w:t>
      </w:r>
      <w:r w:rsidR="00F9188F">
        <w:rPr>
          <w:rFonts w:ascii="Times New Roman" w:hAnsi="Times New Roman"/>
        </w:rPr>
        <w:t>If</w:t>
      </w:r>
      <w:r w:rsidR="007B6D51">
        <w:rPr>
          <w:rFonts w:ascii="Times New Roman" w:hAnsi="Times New Roman"/>
        </w:rPr>
        <w:t xml:space="preserve"> students are struggling to read words</w:t>
      </w:r>
      <w:r w:rsidR="00E67C9F">
        <w:rPr>
          <w:rFonts w:ascii="Times New Roman" w:hAnsi="Times New Roman"/>
        </w:rPr>
        <w:t xml:space="preserve"> and word</w:t>
      </w:r>
      <w:r w:rsidR="00F9188F">
        <w:rPr>
          <w:rFonts w:ascii="Times New Roman" w:hAnsi="Times New Roman"/>
        </w:rPr>
        <w:t xml:space="preserve"> parts</w:t>
      </w:r>
      <w:r w:rsidR="007B6D51">
        <w:rPr>
          <w:rFonts w:ascii="Times New Roman" w:hAnsi="Times New Roman"/>
        </w:rPr>
        <w:t xml:space="preserve"> quickly and correctly, they spe</w:t>
      </w:r>
      <w:r w:rsidR="00F9188F">
        <w:rPr>
          <w:rFonts w:ascii="Times New Roman" w:hAnsi="Times New Roman"/>
        </w:rPr>
        <w:t>nd a significant amount of their</w:t>
      </w:r>
      <w:r w:rsidR="007B6D51">
        <w:rPr>
          <w:rFonts w:ascii="Times New Roman" w:hAnsi="Times New Roman"/>
        </w:rPr>
        <w:t xml:space="preserve"> ment</w:t>
      </w:r>
      <w:r w:rsidR="00D55762">
        <w:rPr>
          <w:rFonts w:ascii="Times New Roman" w:hAnsi="Times New Roman"/>
        </w:rPr>
        <w:t>al energy</w:t>
      </w:r>
      <w:r w:rsidR="00E67C9F">
        <w:rPr>
          <w:rFonts w:ascii="Times New Roman" w:hAnsi="Times New Roman"/>
        </w:rPr>
        <w:t xml:space="preserve"> focusing only on the decoding aspects of reading</w:t>
      </w:r>
      <w:r>
        <w:rPr>
          <w:rFonts w:ascii="Times New Roman" w:hAnsi="Times New Roman"/>
        </w:rPr>
        <w:t xml:space="preserve"> and comprehension is lost</w:t>
      </w:r>
      <w:r w:rsidR="00F9188F">
        <w:rPr>
          <w:rFonts w:ascii="Times New Roman" w:hAnsi="Times New Roman"/>
        </w:rPr>
        <w:t>.</w:t>
      </w:r>
      <w:r w:rsidR="00E67C9F">
        <w:rPr>
          <w:rFonts w:ascii="Times New Roman" w:hAnsi="Times New Roman"/>
        </w:rPr>
        <w:t xml:space="preserve">  </w:t>
      </w:r>
    </w:p>
    <w:p w:rsidR="0084590E" w:rsidRDefault="007B6D51" w:rsidP="00E83277">
      <w:pPr>
        <w:spacing w:after="0" w:line="480" w:lineRule="auto"/>
        <w:outlineLvl w:val="0"/>
        <w:rPr>
          <w:rFonts w:ascii="Times New Roman" w:hAnsi="Times New Roman"/>
          <w:b/>
        </w:rPr>
      </w:pPr>
      <w:r>
        <w:rPr>
          <w:rFonts w:ascii="Times New Roman" w:hAnsi="Times New Roman"/>
          <w:b/>
        </w:rPr>
        <w:tab/>
      </w:r>
      <w:r w:rsidR="001E7C5A">
        <w:rPr>
          <w:rFonts w:ascii="Times New Roman" w:hAnsi="Times New Roman"/>
          <w:b/>
        </w:rPr>
        <w:t>Repeated reading as a tool to improve reading accuracy and fluency</w:t>
      </w:r>
    </w:p>
    <w:p w:rsidR="002746F8" w:rsidRDefault="0084590E" w:rsidP="00723934">
      <w:pPr>
        <w:spacing w:after="0" w:line="480" w:lineRule="auto"/>
        <w:rPr>
          <w:rFonts w:ascii="Times New Roman" w:hAnsi="Times New Roman"/>
        </w:rPr>
      </w:pPr>
      <w:r>
        <w:rPr>
          <w:rFonts w:ascii="Times New Roman" w:hAnsi="Times New Roman"/>
        </w:rPr>
        <w:tab/>
        <w:t xml:space="preserve">Repeated reading is considered a research based reading practice that helps non-fluent readers increase their automaticity, fluency and accuracy when reading out loud.  </w:t>
      </w:r>
      <w:r w:rsidR="00BD2235">
        <w:rPr>
          <w:rFonts w:ascii="Times New Roman" w:hAnsi="Times New Roman"/>
        </w:rPr>
        <w:t>While there have been numerous research articles that show the benefits of repeated reading activities, the delivery use of repeated reading instruction mainly follow the same basic format. For example, Herman (1985) worked with eight at risk students.  She allowed each student to pick a passage and had them read it while she recorded their oral reading rate. Then the students practiced the passage several times and were tested again on their oral reading rate.  The students were told the purpose of this instruction, to help improve their reading accuracy and fluency.  The results of the study showed that not only did the students improve on each particular passage</w:t>
      </w:r>
      <w:r w:rsidR="002746F8">
        <w:rPr>
          <w:rFonts w:ascii="Times New Roman" w:hAnsi="Times New Roman"/>
        </w:rPr>
        <w:t xml:space="preserve"> as they practiced it</w:t>
      </w:r>
      <w:r w:rsidR="00BD2235">
        <w:rPr>
          <w:rFonts w:ascii="Times New Roman" w:hAnsi="Times New Roman"/>
        </w:rPr>
        <w:t>, but over the length of the study, the initial miscues made and rate of reading in each new passage also improved.  Based on the success of this study, I thought that repeated rereading activities would be appropriate</w:t>
      </w:r>
      <w:r w:rsidR="002746F8">
        <w:rPr>
          <w:rFonts w:ascii="Times New Roman" w:hAnsi="Times New Roman"/>
        </w:rPr>
        <w:t xml:space="preserve"> for my students to help build their fluency and accuracy.</w:t>
      </w:r>
    </w:p>
    <w:p w:rsidR="007B6D51" w:rsidRDefault="007B6D51" w:rsidP="00E83277">
      <w:pPr>
        <w:spacing w:after="0" w:line="480" w:lineRule="auto"/>
        <w:ind w:firstLine="720"/>
        <w:outlineLvl w:val="0"/>
        <w:rPr>
          <w:rFonts w:ascii="Times New Roman" w:hAnsi="Times New Roman"/>
          <w:b/>
        </w:rPr>
      </w:pPr>
      <w:r>
        <w:rPr>
          <w:rFonts w:ascii="Times New Roman" w:hAnsi="Times New Roman"/>
          <w:b/>
        </w:rPr>
        <w:t>Metacognitive strategies</w:t>
      </w:r>
      <w:r w:rsidR="00F67C23">
        <w:rPr>
          <w:rFonts w:ascii="Times New Roman" w:hAnsi="Times New Roman"/>
          <w:b/>
        </w:rPr>
        <w:t xml:space="preserve"> to improve decoding </w:t>
      </w:r>
    </w:p>
    <w:p w:rsidR="006A63C6" w:rsidRDefault="007B6D51" w:rsidP="00723934">
      <w:pPr>
        <w:spacing w:after="0" w:line="480" w:lineRule="auto"/>
        <w:rPr>
          <w:rFonts w:ascii="Times New Roman" w:hAnsi="Times New Roman"/>
        </w:rPr>
      </w:pPr>
      <w:r>
        <w:rPr>
          <w:rFonts w:ascii="Times New Roman" w:hAnsi="Times New Roman"/>
          <w:b/>
        </w:rPr>
        <w:tab/>
      </w:r>
      <w:r w:rsidR="002746F8">
        <w:rPr>
          <w:rFonts w:ascii="Times New Roman" w:hAnsi="Times New Roman"/>
        </w:rPr>
        <w:t>Metacognitive strategies are the use of practices that help students think about their own learning.  Traditionally, metacognitive strategies are used to help students improve their reading comprehension</w:t>
      </w:r>
      <w:r w:rsidR="00807550">
        <w:rPr>
          <w:rFonts w:ascii="Times New Roman" w:hAnsi="Times New Roman"/>
        </w:rPr>
        <w:t xml:space="preserve"> (Swanson &amp; De La Paz, 1998)</w:t>
      </w:r>
      <w:r w:rsidR="002746F8">
        <w:rPr>
          <w:rFonts w:ascii="Times New Roman" w:hAnsi="Times New Roman"/>
        </w:rPr>
        <w:t>.  I wanted to help my students</w:t>
      </w:r>
      <w:r w:rsidR="006A63C6">
        <w:rPr>
          <w:rFonts w:ascii="Times New Roman" w:hAnsi="Times New Roman"/>
        </w:rPr>
        <w:t xml:space="preserve"> become more self-</w:t>
      </w:r>
      <w:r w:rsidR="002746F8">
        <w:rPr>
          <w:rFonts w:ascii="Times New Roman" w:hAnsi="Times New Roman"/>
        </w:rPr>
        <w:t xml:space="preserve">aware and engaged when they were </w:t>
      </w:r>
      <w:r w:rsidR="00C94438">
        <w:rPr>
          <w:rFonts w:ascii="Times New Roman" w:hAnsi="Times New Roman"/>
        </w:rPr>
        <w:t>decoding</w:t>
      </w:r>
      <w:r w:rsidR="002746F8">
        <w:rPr>
          <w:rFonts w:ascii="Times New Roman" w:hAnsi="Times New Roman"/>
        </w:rPr>
        <w:t>.  Both A. and J. tended to rush through their texts and skip over or mumble through words they were not sure of.  They did not stop to fix any mistakes.  I knew there had to be something I could add to their reading instruction to help them think about their own accuracy when they were reading.  As early as 1988, Gaskins, Downer, Anderson, Cunningham, Gaskins and S</w:t>
      </w:r>
      <w:r w:rsidR="006A63C6">
        <w:rPr>
          <w:rFonts w:ascii="Times New Roman" w:hAnsi="Times New Roman"/>
        </w:rPr>
        <w:t>chommer, used a metacognitive approach to phonics instruction.  They designed a program that showed students patterns in the English language and help</w:t>
      </w:r>
      <w:r w:rsidR="003E5163">
        <w:rPr>
          <w:rFonts w:ascii="Times New Roman" w:hAnsi="Times New Roman"/>
        </w:rPr>
        <w:t>ed</w:t>
      </w:r>
      <w:r w:rsidR="006A63C6">
        <w:rPr>
          <w:rFonts w:ascii="Times New Roman" w:hAnsi="Times New Roman"/>
        </w:rPr>
        <w:t xml:space="preserve"> them to use this knowledge to decode unknown words.   Their in</w:t>
      </w:r>
      <w:r w:rsidR="00807550">
        <w:rPr>
          <w:rFonts w:ascii="Times New Roman" w:hAnsi="Times New Roman"/>
        </w:rPr>
        <w:t>struction was implicit because they reasoned that at-</w:t>
      </w:r>
      <w:r w:rsidR="006A63C6">
        <w:rPr>
          <w:rFonts w:ascii="Times New Roman" w:hAnsi="Times New Roman"/>
        </w:rPr>
        <w:t>risk readers did not discover these patterns on their own</w:t>
      </w:r>
      <w:r w:rsidR="00807550">
        <w:rPr>
          <w:rFonts w:ascii="Times New Roman" w:hAnsi="Times New Roman"/>
        </w:rPr>
        <w:t>. At-</w:t>
      </w:r>
      <w:r w:rsidR="003E5163">
        <w:rPr>
          <w:rFonts w:ascii="Times New Roman" w:hAnsi="Times New Roman"/>
        </w:rPr>
        <w:t>risk readers</w:t>
      </w:r>
      <w:r w:rsidR="006A63C6">
        <w:rPr>
          <w:rFonts w:ascii="Times New Roman" w:hAnsi="Times New Roman"/>
        </w:rPr>
        <w:t xml:space="preserve"> often treated each new word as completely unknown, rather than looking for patterns or known </w:t>
      </w:r>
      <w:r w:rsidR="003E5163">
        <w:rPr>
          <w:rFonts w:ascii="Times New Roman" w:hAnsi="Times New Roman"/>
        </w:rPr>
        <w:t>parts,</w:t>
      </w:r>
      <w:r w:rsidR="00807550">
        <w:rPr>
          <w:rFonts w:ascii="Times New Roman" w:hAnsi="Times New Roman"/>
        </w:rPr>
        <w:t xml:space="preserve"> which their more skilled </w:t>
      </w:r>
      <w:proofErr w:type="gramStart"/>
      <w:r w:rsidR="00807550">
        <w:rPr>
          <w:rFonts w:ascii="Times New Roman" w:hAnsi="Times New Roman"/>
        </w:rPr>
        <w:t>peers</w:t>
      </w:r>
      <w:proofErr w:type="gramEnd"/>
      <w:r w:rsidR="006A63C6">
        <w:rPr>
          <w:rFonts w:ascii="Times New Roman" w:hAnsi="Times New Roman"/>
        </w:rPr>
        <w:t xml:space="preserve"> seemed to do automatically.  Instruction was particularly focused on why the students were being taught to look for patterns when reading and how to compare and contrast unknown words to words the student already </w:t>
      </w:r>
      <w:r w:rsidR="00807550">
        <w:rPr>
          <w:rFonts w:ascii="Times New Roman" w:hAnsi="Times New Roman"/>
        </w:rPr>
        <w:t>k</w:t>
      </w:r>
      <w:r w:rsidR="006A63C6">
        <w:rPr>
          <w:rFonts w:ascii="Times New Roman" w:hAnsi="Times New Roman"/>
        </w:rPr>
        <w:t>new.  While this program was successful, I knew that I did not have to resources or time to implement the program described by Gaskins, et.al. (1988).  I wanted to incorporate the</w:t>
      </w:r>
      <w:r w:rsidR="00807550">
        <w:rPr>
          <w:rFonts w:ascii="Times New Roman" w:hAnsi="Times New Roman"/>
        </w:rPr>
        <w:t xml:space="preserve"> broader</w:t>
      </w:r>
      <w:r w:rsidR="006A63C6">
        <w:rPr>
          <w:rFonts w:ascii="Times New Roman" w:hAnsi="Times New Roman"/>
        </w:rPr>
        <w:t xml:space="preserve"> idea of thinking metacognitively about decoding into my instruction.  </w:t>
      </w:r>
    </w:p>
    <w:p w:rsidR="006A63C6" w:rsidRPr="00F67C23" w:rsidRDefault="00F67C23" w:rsidP="00723934">
      <w:pPr>
        <w:spacing w:after="0" w:line="480" w:lineRule="auto"/>
        <w:rPr>
          <w:rFonts w:ascii="Times New Roman" w:hAnsi="Times New Roman"/>
        </w:rPr>
      </w:pPr>
      <w:r>
        <w:rPr>
          <w:rFonts w:ascii="Times New Roman" w:hAnsi="Times New Roman"/>
        </w:rPr>
        <w:tab/>
        <w:t xml:space="preserve">Ferraro, Doheny and Marcell’s (2009) article </w:t>
      </w:r>
      <w:r>
        <w:rPr>
          <w:rFonts w:ascii="Times New Roman" w:hAnsi="Times New Roman"/>
          <w:i/>
        </w:rPr>
        <w:t>A Trip to the Fluency Farm: Corralling Decoding, Fluency and Comprehension Strategies to Enhance Metacognition in Primary Students</w:t>
      </w:r>
      <w:r w:rsidR="003E5163">
        <w:rPr>
          <w:rFonts w:ascii="Times New Roman" w:hAnsi="Times New Roman"/>
        </w:rPr>
        <w:t xml:space="preserve"> gave me ideas to incorporate metacognitive strategies into my phonics instruction</w:t>
      </w:r>
      <w:r>
        <w:rPr>
          <w:rFonts w:ascii="Times New Roman" w:hAnsi="Times New Roman"/>
          <w:i/>
        </w:rPr>
        <w:t>.</w:t>
      </w:r>
      <w:r>
        <w:rPr>
          <w:rFonts w:ascii="Times New Roman" w:hAnsi="Times New Roman"/>
        </w:rPr>
        <w:t xml:space="preserve">  These action research teachers described a reading program where they encouraged students to use “fix up” strategies when there was a break down in either decoding or comprehension while reading.  The fun characters</w:t>
      </w:r>
      <w:r w:rsidR="003E5163">
        <w:rPr>
          <w:rFonts w:ascii="Times New Roman" w:hAnsi="Times New Roman"/>
        </w:rPr>
        <w:t>, like Dwayne the Decoding Duck,</w:t>
      </w:r>
      <w:r>
        <w:rPr>
          <w:rFonts w:ascii="Times New Roman" w:hAnsi="Times New Roman"/>
        </w:rPr>
        <w:t xml:space="preserve"> developed by the researchers encouraged students to ask themselves questions like, “Did that make sense?  Did that sound right?” when</w:t>
      </w:r>
      <w:r w:rsidR="00807550">
        <w:rPr>
          <w:rFonts w:ascii="Times New Roman" w:hAnsi="Times New Roman"/>
        </w:rPr>
        <w:t xml:space="preserve"> students encountered</w:t>
      </w:r>
      <w:r>
        <w:rPr>
          <w:rFonts w:ascii="Times New Roman" w:hAnsi="Times New Roman"/>
        </w:rPr>
        <w:t xml:space="preserve"> unknown or difficult words.  This article reminded me of the Daily 5 program of literacy instruction that was currently</w:t>
      </w:r>
      <w:r w:rsidR="00C94438">
        <w:rPr>
          <w:rFonts w:ascii="Times New Roman" w:hAnsi="Times New Roman"/>
        </w:rPr>
        <w:t xml:space="preserve"> being implemented as part of </w:t>
      </w:r>
      <w:r w:rsidR="00807550">
        <w:rPr>
          <w:rFonts w:ascii="Times New Roman" w:hAnsi="Times New Roman"/>
        </w:rPr>
        <w:t>my</w:t>
      </w:r>
      <w:r w:rsidR="00C94438">
        <w:rPr>
          <w:rFonts w:ascii="Times New Roman" w:hAnsi="Times New Roman"/>
        </w:rPr>
        <w:t xml:space="preserve"> school wide</w:t>
      </w:r>
      <w:r>
        <w:rPr>
          <w:rFonts w:ascii="Times New Roman" w:hAnsi="Times New Roman"/>
        </w:rPr>
        <w:t xml:space="preserve"> reading program (Boushey and Moser, 2006).  The Daily 5 program </w:t>
      </w:r>
      <w:r w:rsidR="00C94438">
        <w:rPr>
          <w:rFonts w:ascii="Times New Roman" w:hAnsi="Times New Roman"/>
        </w:rPr>
        <w:t>encourages</w:t>
      </w:r>
      <w:r>
        <w:rPr>
          <w:rFonts w:ascii="Times New Roman" w:hAnsi="Times New Roman"/>
        </w:rPr>
        <w:t xml:space="preserve"> students to ask “Does it look right? Does it sound right? Does it make sense?”</w:t>
      </w:r>
      <w:r w:rsidR="003E5163">
        <w:rPr>
          <w:rFonts w:ascii="Times New Roman" w:hAnsi="Times New Roman"/>
        </w:rPr>
        <w:t xml:space="preserve"> when they read unknown words.</w:t>
      </w:r>
      <w:r>
        <w:rPr>
          <w:rFonts w:ascii="Times New Roman" w:hAnsi="Times New Roman"/>
        </w:rPr>
        <w:t xml:space="preserve">  The similarities between the article and the pr</w:t>
      </w:r>
      <w:r w:rsidR="003E5163">
        <w:rPr>
          <w:rFonts w:ascii="Times New Roman" w:hAnsi="Times New Roman"/>
        </w:rPr>
        <w:t>ogram I already had in place mad</w:t>
      </w:r>
      <w:r>
        <w:rPr>
          <w:rFonts w:ascii="Times New Roman" w:hAnsi="Times New Roman"/>
        </w:rPr>
        <w:t xml:space="preserve">e me decided to revisit some of the strategies taught in the Daily 5 program to aid in metacognition and teach them explicitly to A. and J. to use when decoding and they get stuck </w:t>
      </w:r>
      <w:r w:rsidR="003E5163">
        <w:rPr>
          <w:rFonts w:ascii="Times New Roman" w:hAnsi="Times New Roman"/>
        </w:rPr>
        <w:t>on unknown words</w:t>
      </w:r>
      <w:r>
        <w:rPr>
          <w:rFonts w:ascii="Times New Roman" w:hAnsi="Times New Roman"/>
        </w:rPr>
        <w:t xml:space="preserve">. </w:t>
      </w:r>
    </w:p>
    <w:p w:rsidR="00CF0763" w:rsidRDefault="00CF0763" w:rsidP="00E83277">
      <w:pPr>
        <w:spacing w:after="0" w:line="480" w:lineRule="auto"/>
        <w:outlineLvl w:val="0"/>
        <w:rPr>
          <w:rFonts w:ascii="Times New Roman" w:hAnsi="Times New Roman"/>
          <w:b/>
        </w:rPr>
      </w:pPr>
      <w:r w:rsidRPr="00CF0763">
        <w:rPr>
          <w:rFonts w:ascii="Times New Roman" w:hAnsi="Times New Roman"/>
          <w:b/>
        </w:rPr>
        <w:t>The Teacher Research Project</w:t>
      </w:r>
    </w:p>
    <w:p w:rsidR="00CF0763" w:rsidRDefault="00CF0763" w:rsidP="00723934">
      <w:pPr>
        <w:spacing w:after="0" w:line="480" w:lineRule="auto"/>
        <w:rPr>
          <w:rFonts w:ascii="Times New Roman" w:eastAsia="Times New Roman" w:hAnsi="Times New Roman"/>
          <w:color w:val="121212"/>
        </w:rPr>
      </w:pPr>
      <w:r>
        <w:rPr>
          <w:rFonts w:ascii="Times New Roman" w:hAnsi="Times New Roman"/>
          <w:b/>
        </w:rPr>
        <w:tab/>
      </w:r>
      <w:r>
        <w:rPr>
          <w:rFonts w:ascii="Times New Roman" w:hAnsi="Times New Roman"/>
        </w:rPr>
        <w:t xml:space="preserve">Based on the research I </w:t>
      </w:r>
      <w:r w:rsidR="00807550">
        <w:rPr>
          <w:rFonts w:ascii="Times New Roman" w:hAnsi="Times New Roman"/>
        </w:rPr>
        <w:t>studied</w:t>
      </w:r>
      <w:r>
        <w:rPr>
          <w:rFonts w:ascii="Times New Roman" w:hAnsi="Times New Roman"/>
        </w:rPr>
        <w:t xml:space="preserve">, I designed an instructional plan to help </w:t>
      </w:r>
      <w:r w:rsidR="00807550">
        <w:rPr>
          <w:rFonts w:ascii="Times New Roman" w:hAnsi="Times New Roman"/>
        </w:rPr>
        <w:t xml:space="preserve">A. and J. </w:t>
      </w:r>
      <w:r w:rsidRPr="004102AE">
        <w:rPr>
          <w:rFonts w:ascii="Times New Roman" w:eastAsia="Times New Roman" w:hAnsi="Times New Roman"/>
          <w:color w:val="121212"/>
        </w:rPr>
        <w:t>decode more accurately</w:t>
      </w:r>
      <w:r>
        <w:rPr>
          <w:rFonts w:ascii="Times New Roman" w:eastAsia="Times New Roman" w:hAnsi="Times New Roman"/>
          <w:color w:val="121212"/>
        </w:rPr>
        <w:t>, read more fluently and to help them begin thinking metacognitively about their reading</w:t>
      </w:r>
      <w:r w:rsidRPr="004102AE">
        <w:rPr>
          <w:rFonts w:ascii="Times New Roman" w:eastAsia="Times New Roman" w:hAnsi="Times New Roman"/>
          <w:color w:val="121212"/>
        </w:rPr>
        <w:t xml:space="preserve">.   </w:t>
      </w:r>
      <w:r>
        <w:rPr>
          <w:rFonts w:ascii="Times New Roman" w:eastAsia="Times New Roman" w:hAnsi="Times New Roman"/>
          <w:color w:val="121212"/>
        </w:rPr>
        <w:t xml:space="preserve">A. </w:t>
      </w:r>
      <w:proofErr w:type="gramStart"/>
      <w:r>
        <w:rPr>
          <w:rFonts w:ascii="Times New Roman" w:eastAsia="Times New Roman" w:hAnsi="Times New Roman"/>
          <w:color w:val="121212"/>
        </w:rPr>
        <w:t>and</w:t>
      </w:r>
      <w:proofErr w:type="gramEnd"/>
      <w:r>
        <w:rPr>
          <w:rFonts w:ascii="Times New Roman" w:eastAsia="Times New Roman" w:hAnsi="Times New Roman"/>
          <w:color w:val="121212"/>
        </w:rPr>
        <w:t xml:space="preserve"> J.</w:t>
      </w:r>
      <w:r w:rsidR="00807550">
        <w:rPr>
          <w:rFonts w:ascii="Times New Roman" w:eastAsia="Times New Roman" w:hAnsi="Times New Roman"/>
          <w:color w:val="121212"/>
        </w:rPr>
        <w:t xml:space="preserve"> were identified as at-</w:t>
      </w:r>
      <w:r w:rsidRPr="004102AE">
        <w:rPr>
          <w:rFonts w:ascii="Times New Roman" w:eastAsia="Times New Roman" w:hAnsi="Times New Roman"/>
          <w:color w:val="121212"/>
        </w:rPr>
        <w:t xml:space="preserve">risk students based on the reading benchmark for oral reading fluency given school wide at the beginning of the year. </w:t>
      </w:r>
      <w:r>
        <w:rPr>
          <w:rFonts w:ascii="Times New Roman" w:eastAsia="Times New Roman" w:hAnsi="Times New Roman"/>
          <w:color w:val="121212"/>
        </w:rPr>
        <w:t xml:space="preserve"> They read below 60 words correct per minute and had an accuracy rate of less than 95%. </w:t>
      </w:r>
      <w:r>
        <w:rPr>
          <w:rFonts w:ascii="Times New Roman" w:hAnsi="Times New Roman"/>
        </w:rPr>
        <w:t xml:space="preserve">A. read 57 words correct per minute with an accuracy rate of 86.4%.  J. read 37 words correct per minute with an accuracy rate of 86%.  </w:t>
      </w:r>
      <w:r w:rsidRPr="004102AE">
        <w:rPr>
          <w:rFonts w:ascii="Times New Roman" w:eastAsia="Times New Roman" w:hAnsi="Times New Roman"/>
          <w:color w:val="121212"/>
        </w:rPr>
        <w:t xml:space="preserve"> Additionally, in my </w:t>
      </w:r>
      <w:r>
        <w:rPr>
          <w:rFonts w:ascii="Times New Roman" w:eastAsia="Times New Roman" w:hAnsi="Times New Roman"/>
          <w:color w:val="121212"/>
        </w:rPr>
        <w:t>“digging deeper” assessments</w:t>
      </w:r>
      <w:r w:rsidR="00C94438">
        <w:rPr>
          <w:rFonts w:ascii="Times New Roman" w:eastAsia="Times New Roman" w:hAnsi="Times New Roman"/>
          <w:color w:val="121212"/>
        </w:rPr>
        <w:t>, tests designed to give a teacher more information and insight into reading difficulties,</w:t>
      </w:r>
      <w:r>
        <w:rPr>
          <w:rFonts w:ascii="Times New Roman" w:eastAsia="Times New Roman" w:hAnsi="Times New Roman"/>
          <w:color w:val="121212"/>
        </w:rPr>
        <w:t xml:space="preserve"> </w:t>
      </w:r>
      <w:r w:rsidR="00C94438">
        <w:rPr>
          <w:rFonts w:ascii="Times New Roman" w:eastAsia="Times New Roman" w:hAnsi="Times New Roman"/>
          <w:color w:val="121212"/>
        </w:rPr>
        <w:t>both students</w:t>
      </w:r>
      <w:r w:rsidRPr="004102AE">
        <w:rPr>
          <w:rFonts w:ascii="Times New Roman" w:eastAsia="Times New Roman" w:hAnsi="Times New Roman"/>
          <w:color w:val="121212"/>
        </w:rPr>
        <w:t xml:space="preserve"> showed deficits in phonics and decoding skills, particularly with vowel patterns, blends, blending sounds and substituting sounds. Based on the results of these tests, I decided to create and intervention group within my classroom to work on building their reading accuracy and fluency.  I did not include any other students in this group because based on their performance on the benchmark screening for oral reading fluency, </w:t>
      </w:r>
      <w:r w:rsidR="00807550">
        <w:rPr>
          <w:rFonts w:ascii="Times New Roman" w:eastAsia="Times New Roman" w:hAnsi="Times New Roman"/>
          <w:color w:val="121212"/>
        </w:rPr>
        <w:t>they were not identified as at-</w:t>
      </w:r>
      <w:r w:rsidRPr="004102AE">
        <w:rPr>
          <w:rFonts w:ascii="Times New Roman" w:eastAsia="Times New Roman" w:hAnsi="Times New Roman"/>
          <w:color w:val="121212"/>
        </w:rPr>
        <w:t xml:space="preserve">risk. </w:t>
      </w:r>
    </w:p>
    <w:p w:rsidR="007D4B11" w:rsidRDefault="00CF0763" w:rsidP="00807550">
      <w:pPr>
        <w:spacing w:after="0" w:line="480" w:lineRule="auto"/>
        <w:rPr>
          <w:rFonts w:ascii="Times New Roman" w:eastAsia="Times New Roman" w:hAnsi="Times New Roman"/>
          <w:color w:val="121212"/>
        </w:rPr>
      </w:pPr>
      <w:r>
        <w:rPr>
          <w:rFonts w:ascii="Times New Roman" w:eastAsia="Times New Roman" w:hAnsi="Times New Roman"/>
          <w:color w:val="121212"/>
        </w:rPr>
        <w:tab/>
        <w:t xml:space="preserve">I chose to use a blended approach to my instruction.  I knew I wanted to use repeated reading activities because they had a proven record of helping students improve reading fluency.  I also wanted to use activities to help the students improve their </w:t>
      </w:r>
      <w:r w:rsidR="003E5163">
        <w:rPr>
          <w:rFonts w:ascii="Times New Roman" w:eastAsia="Times New Roman" w:hAnsi="Times New Roman"/>
          <w:color w:val="121212"/>
        </w:rPr>
        <w:t>self-monitoring</w:t>
      </w:r>
      <w:r>
        <w:rPr>
          <w:rFonts w:ascii="Times New Roman" w:eastAsia="Times New Roman" w:hAnsi="Times New Roman"/>
          <w:color w:val="121212"/>
        </w:rPr>
        <w:t xml:space="preserve"> skills of their reading accuracy, because in order for them to succeed</w:t>
      </w:r>
      <w:r w:rsidR="003E5163">
        <w:rPr>
          <w:rFonts w:ascii="Times New Roman" w:eastAsia="Times New Roman" w:hAnsi="Times New Roman"/>
          <w:color w:val="121212"/>
        </w:rPr>
        <w:t xml:space="preserve"> independently</w:t>
      </w:r>
      <w:r>
        <w:rPr>
          <w:rFonts w:ascii="Times New Roman" w:eastAsia="Times New Roman" w:hAnsi="Times New Roman"/>
          <w:color w:val="121212"/>
        </w:rPr>
        <w:t>, they need to be able to monitor their own decodi</w:t>
      </w:r>
      <w:r w:rsidR="000D0BA9">
        <w:rPr>
          <w:rFonts w:ascii="Times New Roman" w:eastAsia="Times New Roman" w:hAnsi="Times New Roman"/>
          <w:color w:val="121212"/>
        </w:rPr>
        <w:t>ng skills.  Finally, as a</w:t>
      </w:r>
      <w:r>
        <w:rPr>
          <w:rFonts w:ascii="Times New Roman" w:eastAsia="Times New Roman" w:hAnsi="Times New Roman"/>
          <w:color w:val="121212"/>
        </w:rPr>
        <w:t xml:space="preserve"> more personal goal, I wante</w:t>
      </w:r>
      <w:r w:rsidR="000D0BA9">
        <w:rPr>
          <w:rFonts w:ascii="Times New Roman" w:eastAsia="Times New Roman" w:hAnsi="Times New Roman"/>
          <w:color w:val="121212"/>
        </w:rPr>
        <w:t>d</w:t>
      </w:r>
      <w:r>
        <w:rPr>
          <w:rFonts w:ascii="Times New Roman" w:eastAsia="Times New Roman" w:hAnsi="Times New Roman"/>
          <w:color w:val="121212"/>
        </w:rPr>
        <w:t xml:space="preserve"> to make the activities I did with the students engaging and fun.</w:t>
      </w:r>
      <w:r w:rsidR="000D0BA9">
        <w:rPr>
          <w:rFonts w:ascii="Times New Roman" w:eastAsia="Times New Roman" w:hAnsi="Times New Roman"/>
          <w:color w:val="121212"/>
        </w:rPr>
        <w:t xml:space="preserve"> Reading intervention is not always the most exciting lesson to be involved with and I didn’t want my struggling readers to dread working on their fluency.  </w:t>
      </w:r>
      <w:r>
        <w:rPr>
          <w:rFonts w:ascii="Times New Roman" w:eastAsia="Times New Roman" w:hAnsi="Times New Roman"/>
          <w:color w:val="121212"/>
        </w:rPr>
        <w:t xml:space="preserve"> </w:t>
      </w:r>
      <w:r w:rsidR="000D0BA9">
        <w:rPr>
          <w:rFonts w:ascii="Times New Roman" w:eastAsia="Times New Roman" w:hAnsi="Times New Roman"/>
          <w:color w:val="121212"/>
        </w:rPr>
        <w:t>I looked into different methods of running repeated reading lessons and initially wanted to use reader’s theatre scripts.  Raninski and Young (2009) had great success with the use of scripts to help improve s</w:t>
      </w:r>
      <w:r w:rsidR="00807550">
        <w:rPr>
          <w:rFonts w:ascii="Times New Roman" w:eastAsia="Times New Roman" w:hAnsi="Times New Roman"/>
          <w:color w:val="121212"/>
        </w:rPr>
        <w:t>tudent fluency.  They explained</w:t>
      </w:r>
      <w:r w:rsidR="000D0BA9">
        <w:rPr>
          <w:rFonts w:ascii="Times New Roman" w:eastAsia="Times New Roman" w:hAnsi="Times New Roman"/>
          <w:color w:val="121212"/>
        </w:rPr>
        <w:t xml:space="preserve"> that reader’s </w:t>
      </w:r>
      <w:proofErr w:type="spellStart"/>
      <w:r w:rsidR="000D0BA9">
        <w:rPr>
          <w:rFonts w:ascii="Times New Roman" w:eastAsia="Times New Roman" w:hAnsi="Times New Roman"/>
          <w:color w:val="121212"/>
        </w:rPr>
        <w:t>theater</w:t>
      </w:r>
      <w:r w:rsidR="00807550">
        <w:rPr>
          <w:rFonts w:ascii="Times New Roman" w:eastAsia="Times New Roman" w:hAnsi="Times New Roman"/>
          <w:color w:val="121212"/>
        </w:rPr>
        <w:t>e</w:t>
      </w:r>
      <w:proofErr w:type="spellEnd"/>
      <w:r w:rsidR="000D0BA9">
        <w:rPr>
          <w:rFonts w:ascii="Times New Roman" w:eastAsia="Times New Roman" w:hAnsi="Times New Roman"/>
          <w:color w:val="121212"/>
        </w:rPr>
        <w:t xml:space="preserve"> was a more authentic approach to fluency instruction because it focused on performance texts.  Students were not being taught to read fast for the sake of increasing their words correct per minute.  They had to read in a way that their audience could understand them and make meaning from what they were listening to.   The goal was to give an engaging performance that was pleasant to listen to rather than just to read as fast as possible.  This idea resonated with me because I did not want to fall into the trap of teaching students to read so fast that they were ignoring comprehension.</w:t>
      </w:r>
      <w:r w:rsidR="00C94438">
        <w:rPr>
          <w:rFonts w:ascii="Times New Roman" w:eastAsia="Times New Roman" w:hAnsi="Times New Roman"/>
          <w:color w:val="121212"/>
        </w:rPr>
        <w:t xml:space="preserve"> I did not want my students to believe that reading fast was the only way to be considered a good reader.</w:t>
      </w:r>
      <w:r w:rsidR="000D0BA9">
        <w:rPr>
          <w:rFonts w:ascii="Times New Roman" w:eastAsia="Times New Roman" w:hAnsi="Times New Roman"/>
          <w:color w:val="121212"/>
        </w:rPr>
        <w:t xml:space="preserve">  I wanted them to improve their accuracy and automaticity of word recognition to ultimately improve their comprehension, not ignore it.   </w:t>
      </w:r>
    </w:p>
    <w:p w:rsidR="000D0BA9" w:rsidRPr="006E495A" w:rsidRDefault="000D0BA9" w:rsidP="003E5163">
      <w:pPr>
        <w:spacing w:after="0" w:line="480" w:lineRule="auto"/>
        <w:ind w:firstLine="720"/>
        <w:rPr>
          <w:rFonts w:ascii="Times New Roman" w:eastAsia="Times New Roman" w:hAnsi="Times New Roman"/>
          <w:color w:val="121212"/>
        </w:rPr>
      </w:pPr>
      <w:r>
        <w:rPr>
          <w:rFonts w:ascii="Times New Roman" w:eastAsia="Times New Roman" w:hAnsi="Times New Roman"/>
          <w:color w:val="121212"/>
        </w:rPr>
        <w:t xml:space="preserve">However, I soon </w:t>
      </w:r>
      <w:r w:rsidR="00ED06FD">
        <w:rPr>
          <w:rFonts w:ascii="Times New Roman" w:eastAsia="Times New Roman" w:hAnsi="Times New Roman"/>
          <w:color w:val="121212"/>
        </w:rPr>
        <w:t>realized</w:t>
      </w:r>
      <w:r>
        <w:rPr>
          <w:rFonts w:ascii="Times New Roman" w:eastAsia="Times New Roman" w:hAnsi="Times New Roman"/>
          <w:color w:val="121212"/>
        </w:rPr>
        <w:t xml:space="preserve"> that finding reader’s theater scripts for two students was challenging.  I also wanted to use short pieces that were easy to practice repeatedly and the scripts were often several pages long.  </w:t>
      </w:r>
      <w:r w:rsidR="006E495A">
        <w:rPr>
          <w:rFonts w:ascii="Times New Roman" w:eastAsia="Times New Roman" w:hAnsi="Times New Roman"/>
          <w:color w:val="121212"/>
        </w:rPr>
        <w:t xml:space="preserve">I continued to search for the right type text that would give my students the fluency practice they desperately needed that was also engaging and fun to read.  Then, I found my answer.  After reading Wilfong’s (2008) article, </w:t>
      </w:r>
      <w:r w:rsidR="006E495A">
        <w:rPr>
          <w:rFonts w:ascii="Times New Roman" w:eastAsia="Times New Roman" w:hAnsi="Times New Roman"/>
          <w:i/>
          <w:color w:val="121212"/>
        </w:rPr>
        <w:t xml:space="preserve">Building </w:t>
      </w:r>
      <w:r w:rsidR="00ED06FD">
        <w:rPr>
          <w:rFonts w:ascii="Times New Roman" w:eastAsia="Times New Roman" w:hAnsi="Times New Roman"/>
          <w:i/>
          <w:color w:val="121212"/>
        </w:rPr>
        <w:t>Fluency</w:t>
      </w:r>
      <w:r w:rsidR="006E495A">
        <w:rPr>
          <w:rFonts w:ascii="Times New Roman" w:eastAsia="Times New Roman" w:hAnsi="Times New Roman"/>
          <w:i/>
          <w:color w:val="121212"/>
        </w:rPr>
        <w:t>, Word-Recognition Ability, and Confidence in Struggling Readers: The Poetry Academy</w:t>
      </w:r>
      <w:r w:rsidR="006E495A">
        <w:rPr>
          <w:rFonts w:ascii="Times New Roman" w:eastAsia="Times New Roman" w:hAnsi="Times New Roman"/>
          <w:color w:val="121212"/>
        </w:rPr>
        <w:t>, I knew that poetry was the right type of text to use.  Poems were generally short</w:t>
      </w:r>
      <w:r w:rsidR="00ED06FD">
        <w:rPr>
          <w:rFonts w:ascii="Times New Roman" w:eastAsia="Times New Roman" w:hAnsi="Times New Roman"/>
          <w:color w:val="121212"/>
        </w:rPr>
        <w:t>er than other types of text</w:t>
      </w:r>
      <w:r w:rsidR="006E495A">
        <w:rPr>
          <w:rFonts w:ascii="Times New Roman" w:eastAsia="Times New Roman" w:hAnsi="Times New Roman"/>
          <w:color w:val="121212"/>
        </w:rPr>
        <w:t>, could be practiced repeatedly</w:t>
      </w:r>
      <w:r w:rsidR="00807550">
        <w:rPr>
          <w:rFonts w:ascii="Times New Roman" w:eastAsia="Times New Roman" w:hAnsi="Times New Roman"/>
          <w:color w:val="121212"/>
        </w:rPr>
        <w:t>,</w:t>
      </w:r>
      <w:r w:rsidR="006E495A">
        <w:rPr>
          <w:rFonts w:ascii="Times New Roman" w:eastAsia="Times New Roman" w:hAnsi="Times New Roman"/>
          <w:color w:val="121212"/>
        </w:rPr>
        <w:t xml:space="preserve"> and were also good for performing in front of an audience.  </w:t>
      </w:r>
    </w:p>
    <w:p w:rsidR="003D4334" w:rsidRDefault="00CF0763" w:rsidP="00723934">
      <w:pPr>
        <w:spacing w:after="0" w:line="480" w:lineRule="auto"/>
        <w:ind w:firstLine="720"/>
        <w:rPr>
          <w:rFonts w:ascii="Times New Roman" w:eastAsia="Times New Roman" w:hAnsi="Times New Roman"/>
          <w:color w:val="121212"/>
        </w:rPr>
      </w:pPr>
      <w:r w:rsidRPr="004102AE">
        <w:rPr>
          <w:rFonts w:ascii="Times New Roman" w:eastAsia="Times New Roman" w:hAnsi="Times New Roman"/>
          <w:color w:val="121212"/>
        </w:rPr>
        <w:t xml:space="preserve">Each week, the </w:t>
      </w:r>
      <w:r w:rsidR="006E495A">
        <w:rPr>
          <w:rFonts w:ascii="Times New Roman" w:eastAsia="Times New Roman" w:hAnsi="Times New Roman"/>
          <w:color w:val="121212"/>
        </w:rPr>
        <w:t>A. and J.</w:t>
      </w:r>
      <w:r w:rsidRPr="004102AE">
        <w:rPr>
          <w:rFonts w:ascii="Times New Roman" w:eastAsia="Times New Roman" w:hAnsi="Times New Roman"/>
          <w:color w:val="121212"/>
        </w:rPr>
        <w:t xml:space="preserve"> pick</w:t>
      </w:r>
      <w:r>
        <w:rPr>
          <w:rFonts w:ascii="Times New Roman" w:eastAsia="Times New Roman" w:hAnsi="Times New Roman"/>
          <w:color w:val="121212"/>
        </w:rPr>
        <w:t>ed a poem</w:t>
      </w:r>
      <w:r w:rsidRPr="004102AE">
        <w:rPr>
          <w:rFonts w:ascii="Times New Roman" w:eastAsia="Times New Roman" w:hAnsi="Times New Roman"/>
          <w:color w:val="121212"/>
        </w:rPr>
        <w:t xml:space="preserve"> that they </w:t>
      </w:r>
      <w:r w:rsidR="00807550">
        <w:rPr>
          <w:rFonts w:ascii="Times New Roman" w:eastAsia="Times New Roman" w:hAnsi="Times New Roman"/>
          <w:color w:val="121212"/>
        </w:rPr>
        <w:t>would</w:t>
      </w:r>
      <w:r w:rsidR="006E495A">
        <w:rPr>
          <w:rFonts w:ascii="Times New Roman" w:eastAsia="Times New Roman" w:hAnsi="Times New Roman"/>
          <w:color w:val="121212"/>
        </w:rPr>
        <w:t xml:space="preserve"> perform for another class, their teacher from last year who they had a good relationship with</w:t>
      </w:r>
      <w:r w:rsidRPr="004102AE">
        <w:rPr>
          <w:rFonts w:ascii="Times New Roman" w:eastAsia="Times New Roman" w:hAnsi="Times New Roman"/>
          <w:color w:val="121212"/>
        </w:rPr>
        <w:t xml:space="preserve">. </w:t>
      </w:r>
      <w:r w:rsidR="003D4334">
        <w:rPr>
          <w:rFonts w:ascii="Times New Roman" w:eastAsia="Times New Roman" w:hAnsi="Times New Roman"/>
          <w:color w:val="121212"/>
        </w:rPr>
        <w:t>The poems were chosen from the website</w:t>
      </w:r>
      <w:r w:rsidRPr="004102AE">
        <w:rPr>
          <w:rFonts w:ascii="Times New Roman" w:eastAsia="Times New Roman" w:hAnsi="Times New Roman"/>
          <w:color w:val="121212"/>
        </w:rPr>
        <w:t xml:space="preserve"> </w:t>
      </w:r>
      <w:r w:rsidR="00ED06FD">
        <w:rPr>
          <w:rFonts w:ascii="Times New Roman" w:eastAsia="Times New Roman" w:hAnsi="Times New Roman"/>
          <w:color w:val="121212"/>
        </w:rPr>
        <w:t>www.</w:t>
      </w:r>
      <w:r w:rsidRPr="004102AE">
        <w:rPr>
          <w:rFonts w:ascii="Times New Roman" w:eastAsia="Times New Roman" w:hAnsi="Times New Roman"/>
          <w:color w:val="121212"/>
        </w:rPr>
        <w:t>gigglepo</w:t>
      </w:r>
      <w:r w:rsidR="003D4334">
        <w:rPr>
          <w:rFonts w:ascii="Times New Roman" w:eastAsia="Times New Roman" w:hAnsi="Times New Roman"/>
          <w:color w:val="121212"/>
        </w:rPr>
        <w:t>etry.com, which contains</w:t>
      </w:r>
      <w:r w:rsidRPr="004102AE">
        <w:rPr>
          <w:rFonts w:ascii="Times New Roman" w:eastAsia="Times New Roman" w:hAnsi="Times New Roman"/>
          <w:color w:val="121212"/>
        </w:rPr>
        <w:t xml:space="preserve"> humorous poems written by popular children’s authors. While poetry can be a difficult genre to read, I pre-selected poems for them to choose from that followed easy to read format, with more sentences and phrases rather than figurative lines and creative formats. Since motivation toward reading is sometimes lacking in at risk students, these comical poems provided high interest reading material that engaged my students and reinforced their desire to participate in the lessons.  Additionally, </w:t>
      </w:r>
      <w:r w:rsidR="003D4334">
        <w:rPr>
          <w:rFonts w:ascii="Times New Roman" w:eastAsia="Times New Roman" w:hAnsi="Times New Roman"/>
          <w:color w:val="121212"/>
        </w:rPr>
        <w:t>A. and J.</w:t>
      </w:r>
      <w:r w:rsidRPr="004102AE">
        <w:rPr>
          <w:rFonts w:ascii="Times New Roman" w:eastAsia="Times New Roman" w:hAnsi="Times New Roman"/>
          <w:color w:val="121212"/>
        </w:rPr>
        <w:t xml:space="preserve"> are confident </w:t>
      </w:r>
      <w:r w:rsidR="003D4334">
        <w:rPr>
          <w:rFonts w:ascii="Times New Roman" w:eastAsia="Times New Roman" w:hAnsi="Times New Roman"/>
          <w:color w:val="121212"/>
        </w:rPr>
        <w:t xml:space="preserve">students </w:t>
      </w:r>
      <w:r w:rsidRPr="004102AE">
        <w:rPr>
          <w:rFonts w:ascii="Times New Roman" w:eastAsia="Times New Roman" w:hAnsi="Times New Roman"/>
          <w:color w:val="121212"/>
        </w:rPr>
        <w:t xml:space="preserve">and had a good relationship with their </w:t>
      </w:r>
      <w:r w:rsidR="0074742B">
        <w:rPr>
          <w:rFonts w:ascii="Times New Roman" w:eastAsia="Times New Roman" w:hAnsi="Times New Roman"/>
          <w:color w:val="121212"/>
        </w:rPr>
        <w:t>first grade</w:t>
      </w:r>
      <w:r w:rsidRPr="004102AE">
        <w:rPr>
          <w:rFonts w:ascii="Times New Roman" w:eastAsia="Times New Roman" w:hAnsi="Times New Roman"/>
          <w:color w:val="121212"/>
        </w:rPr>
        <w:t xml:space="preserve"> teacher.  I initially gave them the option of performing their poem to only me, to our class or to their </w:t>
      </w:r>
      <w:r w:rsidR="003D4334">
        <w:rPr>
          <w:rFonts w:ascii="Times New Roman" w:eastAsia="Times New Roman" w:hAnsi="Times New Roman"/>
          <w:color w:val="121212"/>
        </w:rPr>
        <w:t>first grade</w:t>
      </w:r>
      <w:r w:rsidR="00ED06FD">
        <w:rPr>
          <w:rFonts w:ascii="Times New Roman" w:eastAsia="Times New Roman" w:hAnsi="Times New Roman"/>
          <w:color w:val="121212"/>
        </w:rPr>
        <w:t xml:space="preserve"> teacher</w:t>
      </w:r>
      <w:r w:rsidR="007D4B11">
        <w:rPr>
          <w:rFonts w:ascii="Times New Roman" w:eastAsia="Times New Roman" w:hAnsi="Times New Roman"/>
          <w:color w:val="121212"/>
        </w:rPr>
        <w:t>’s class</w:t>
      </w:r>
      <w:r w:rsidR="00ED06FD">
        <w:rPr>
          <w:rFonts w:ascii="Times New Roman" w:eastAsia="Times New Roman" w:hAnsi="Times New Roman"/>
          <w:color w:val="121212"/>
        </w:rPr>
        <w:t xml:space="preserve"> and they ch</w:t>
      </w:r>
      <w:r w:rsidRPr="004102AE">
        <w:rPr>
          <w:rFonts w:ascii="Times New Roman" w:eastAsia="Times New Roman" w:hAnsi="Times New Roman"/>
          <w:color w:val="121212"/>
        </w:rPr>
        <w:t xml:space="preserve">ose where they would like to go.  Each </w:t>
      </w:r>
      <w:r w:rsidR="003D4334" w:rsidRPr="004102AE">
        <w:rPr>
          <w:rFonts w:ascii="Times New Roman" w:eastAsia="Times New Roman" w:hAnsi="Times New Roman"/>
          <w:color w:val="121212"/>
        </w:rPr>
        <w:t>week,</w:t>
      </w:r>
      <w:r w:rsidRPr="004102AE">
        <w:rPr>
          <w:rFonts w:ascii="Times New Roman" w:eastAsia="Times New Roman" w:hAnsi="Times New Roman"/>
          <w:color w:val="121212"/>
        </w:rPr>
        <w:t xml:space="preserve"> they </w:t>
      </w:r>
      <w:r w:rsidR="003D4334">
        <w:rPr>
          <w:rFonts w:ascii="Times New Roman" w:eastAsia="Times New Roman" w:hAnsi="Times New Roman"/>
          <w:color w:val="121212"/>
        </w:rPr>
        <w:t xml:space="preserve">chose </w:t>
      </w:r>
      <w:r w:rsidRPr="004102AE">
        <w:rPr>
          <w:rFonts w:ascii="Times New Roman" w:eastAsia="Times New Roman" w:hAnsi="Times New Roman"/>
          <w:color w:val="121212"/>
        </w:rPr>
        <w:t>to perform for their old teacher.  They like</w:t>
      </w:r>
      <w:r w:rsidR="007D4B11">
        <w:rPr>
          <w:rFonts w:ascii="Times New Roman" w:eastAsia="Times New Roman" w:hAnsi="Times New Roman"/>
          <w:color w:val="121212"/>
        </w:rPr>
        <w:t>d</w:t>
      </w:r>
      <w:r w:rsidRPr="004102AE">
        <w:rPr>
          <w:rFonts w:ascii="Times New Roman" w:eastAsia="Times New Roman" w:hAnsi="Times New Roman"/>
          <w:color w:val="121212"/>
        </w:rPr>
        <w:t xml:space="preserve"> g</w:t>
      </w:r>
      <w:r w:rsidR="007D4B11">
        <w:rPr>
          <w:rFonts w:ascii="Times New Roman" w:eastAsia="Times New Roman" w:hAnsi="Times New Roman"/>
          <w:color w:val="121212"/>
        </w:rPr>
        <w:t>oing down to see her and that was</w:t>
      </w:r>
      <w:r w:rsidRPr="004102AE">
        <w:rPr>
          <w:rFonts w:ascii="Times New Roman" w:eastAsia="Times New Roman" w:hAnsi="Times New Roman"/>
          <w:color w:val="121212"/>
        </w:rPr>
        <w:t xml:space="preserve"> an incentive </w:t>
      </w:r>
      <w:r w:rsidR="003D4334">
        <w:rPr>
          <w:rFonts w:ascii="Times New Roman" w:eastAsia="Times New Roman" w:hAnsi="Times New Roman"/>
          <w:color w:val="121212"/>
        </w:rPr>
        <w:t>and motivation to continue with the lessons.</w:t>
      </w:r>
      <w:r w:rsidR="00ED06FD">
        <w:rPr>
          <w:rFonts w:ascii="Times New Roman" w:eastAsia="Times New Roman" w:hAnsi="Times New Roman"/>
          <w:color w:val="121212"/>
        </w:rPr>
        <w:t xml:space="preserve">  Both students like</w:t>
      </w:r>
      <w:r w:rsidR="007D4B11">
        <w:rPr>
          <w:rFonts w:ascii="Times New Roman" w:eastAsia="Times New Roman" w:hAnsi="Times New Roman"/>
          <w:color w:val="121212"/>
        </w:rPr>
        <w:t>d</w:t>
      </w:r>
      <w:r w:rsidR="00ED06FD">
        <w:rPr>
          <w:rFonts w:ascii="Times New Roman" w:eastAsia="Times New Roman" w:hAnsi="Times New Roman"/>
          <w:color w:val="121212"/>
        </w:rPr>
        <w:t xml:space="preserve"> the opportunity to perform for younger students </w:t>
      </w:r>
      <w:r w:rsidR="0074742B">
        <w:rPr>
          <w:rFonts w:ascii="Times New Roman" w:eastAsia="Times New Roman" w:hAnsi="Times New Roman"/>
          <w:color w:val="121212"/>
        </w:rPr>
        <w:t>and visit with their first grade teacher</w:t>
      </w:r>
      <w:r w:rsidR="00ED06FD">
        <w:rPr>
          <w:rFonts w:ascii="Times New Roman" w:eastAsia="Times New Roman" w:hAnsi="Times New Roman"/>
          <w:color w:val="121212"/>
        </w:rPr>
        <w:t>.</w:t>
      </w:r>
    </w:p>
    <w:p w:rsidR="00052A4A" w:rsidRPr="00C94438" w:rsidRDefault="00CF0763" w:rsidP="00723934">
      <w:pPr>
        <w:spacing w:after="0" w:line="480" w:lineRule="auto"/>
        <w:ind w:firstLine="720"/>
        <w:rPr>
          <w:rFonts w:ascii="Times New Roman" w:eastAsia="Times New Roman" w:hAnsi="Times New Roman"/>
          <w:color w:val="121212"/>
        </w:rPr>
      </w:pPr>
      <w:r w:rsidRPr="004102AE">
        <w:rPr>
          <w:rFonts w:ascii="Times New Roman" w:eastAsia="Times New Roman" w:hAnsi="Times New Roman"/>
          <w:color w:val="121212"/>
        </w:rPr>
        <w:t>Throughout the week, the students practice</w:t>
      </w:r>
      <w:r w:rsidR="007D4B11">
        <w:rPr>
          <w:rFonts w:ascii="Times New Roman" w:eastAsia="Times New Roman" w:hAnsi="Times New Roman"/>
          <w:color w:val="121212"/>
        </w:rPr>
        <w:t>d</w:t>
      </w:r>
      <w:r w:rsidRPr="004102AE">
        <w:rPr>
          <w:rFonts w:ascii="Times New Roman" w:eastAsia="Times New Roman" w:hAnsi="Times New Roman"/>
          <w:color w:val="121212"/>
        </w:rPr>
        <w:t xml:space="preserve"> their poem independently </w:t>
      </w:r>
      <w:r w:rsidR="00C94438">
        <w:rPr>
          <w:rFonts w:ascii="Times New Roman" w:eastAsia="Times New Roman" w:hAnsi="Times New Roman"/>
          <w:color w:val="121212"/>
        </w:rPr>
        <w:t xml:space="preserve">at home </w:t>
      </w:r>
      <w:r>
        <w:rPr>
          <w:rFonts w:ascii="Times New Roman" w:eastAsia="Times New Roman" w:hAnsi="Times New Roman"/>
          <w:color w:val="121212"/>
        </w:rPr>
        <w:t>and with me in a small group. Wh</w:t>
      </w:r>
      <w:r w:rsidRPr="004102AE">
        <w:rPr>
          <w:rFonts w:ascii="Times New Roman" w:eastAsia="Times New Roman" w:hAnsi="Times New Roman"/>
          <w:color w:val="121212"/>
        </w:rPr>
        <w:t>en working with me, we talk</w:t>
      </w:r>
      <w:r w:rsidR="006E495A">
        <w:rPr>
          <w:rFonts w:ascii="Times New Roman" w:eastAsia="Times New Roman" w:hAnsi="Times New Roman"/>
          <w:color w:val="121212"/>
        </w:rPr>
        <w:t>ed</w:t>
      </w:r>
      <w:r w:rsidRPr="004102AE">
        <w:rPr>
          <w:rFonts w:ascii="Times New Roman" w:eastAsia="Times New Roman" w:hAnsi="Times New Roman"/>
          <w:color w:val="121212"/>
        </w:rPr>
        <w:t xml:space="preserve"> about metacognitive strategies they </w:t>
      </w:r>
      <w:r w:rsidR="006E495A">
        <w:rPr>
          <w:rFonts w:ascii="Times New Roman" w:eastAsia="Times New Roman" w:hAnsi="Times New Roman"/>
          <w:color w:val="121212"/>
        </w:rPr>
        <w:t>could</w:t>
      </w:r>
      <w:r w:rsidRPr="004102AE">
        <w:rPr>
          <w:rFonts w:ascii="Times New Roman" w:eastAsia="Times New Roman" w:hAnsi="Times New Roman"/>
          <w:color w:val="121212"/>
        </w:rPr>
        <w:t xml:space="preserve"> use to help them decode accurately.  I chose my strategies from the </w:t>
      </w:r>
      <w:r w:rsidRPr="004102AE">
        <w:rPr>
          <w:rFonts w:ascii="Times New Roman" w:eastAsia="Times New Roman" w:hAnsi="Times New Roman"/>
          <w:i/>
          <w:color w:val="121212"/>
        </w:rPr>
        <w:t>Daily 5</w:t>
      </w:r>
      <w:r w:rsidRPr="004102AE">
        <w:rPr>
          <w:rFonts w:ascii="Times New Roman" w:eastAsia="Times New Roman" w:hAnsi="Times New Roman"/>
          <w:color w:val="121212"/>
        </w:rPr>
        <w:t xml:space="preserve"> and </w:t>
      </w:r>
      <w:r w:rsidRPr="004102AE">
        <w:rPr>
          <w:rFonts w:ascii="Times New Roman" w:eastAsia="Times New Roman" w:hAnsi="Times New Roman"/>
          <w:i/>
          <w:color w:val="121212"/>
        </w:rPr>
        <w:t xml:space="preserve">Café </w:t>
      </w:r>
      <w:r w:rsidRPr="004102AE">
        <w:rPr>
          <w:rFonts w:ascii="Times New Roman" w:eastAsia="Times New Roman" w:hAnsi="Times New Roman"/>
          <w:color w:val="121212"/>
        </w:rPr>
        <w:t>books</w:t>
      </w:r>
      <w:r>
        <w:rPr>
          <w:rFonts w:ascii="Times New Roman" w:eastAsia="Times New Roman" w:hAnsi="Times New Roman"/>
          <w:color w:val="121212"/>
        </w:rPr>
        <w:t xml:space="preserve"> I</w:t>
      </w:r>
      <w:r w:rsidRPr="004102AE">
        <w:rPr>
          <w:rFonts w:ascii="Times New Roman" w:eastAsia="Times New Roman" w:hAnsi="Times New Roman"/>
          <w:color w:val="121212"/>
        </w:rPr>
        <w:t xml:space="preserve"> used during my research</w:t>
      </w:r>
      <w:r w:rsidR="00435128">
        <w:rPr>
          <w:rFonts w:ascii="Times New Roman" w:eastAsia="Times New Roman" w:hAnsi="Times New Roman"/>
          <w:color w:val="121212"/>
        </w:rPr>
        <w:t xml:space="preserve"> </w:t>
      </w:r>
      <w:r w:rsidR="00435128">
        <w:rPr>
          <w:rFonts w:ascii="Times New Roman" w:hAnsi="Times New Roman"/>
        </w:rPr>
        <w:t>(Boushey and Moser, 2006, 2009)</w:t>
      </w:r>
      <w:r w:rsidRPr="004102AE">
        <w:rPr>
          <w:rFonts w:ascii="Times New Roman" w:eastAsia="Times New Roman" w:hAnsi="Times New Roman"/>
          <w:color w:val="121212"/>
        </w:rPr>
        <w:t>.  Some</w:t>
      </w:r>
      <w:r w:rsidR="0074742B">
        <w:rPr>
          <w:rFonts w:ascii="Times New Roman" w:eastAsia="Times New Roman" w:hAnsi="Times New Roman"/>
          <w:color w:val="121212"/>
        </w:rPr>
        <w:t xml:space="preserve"> of the strategies we discussed</w:t>
      </w:r>
      <w:r w:rsidRPr="004102AE">
        <w:rPr>
          <w:rFonts w:ascii="Times New Roman" w:eastAsia="Times New Roman" w:hAnsi="Times New Roman"/>
          <w:color w:val="121212"/>
        </w:rPr>
        <w:t xml:space="preserve"> </w:t>
      </w:r>
      <w:r w:rsidR="0074742B">
        <w:rPr>
          <w:rFonts w:ascii="Times New Roman" w:eastAsia="Times New Roman" w:hAnsi="Times New Roman"/>
          <w:color w:val="121212"/>
        </w:rPr>
        <w:t>were</w:t>
      </w:r>
      <w:r w:rsidRPr="004102AE">
        <w:rPr>
          <w:rFonts w:ascii="Times New Roman" w:eastAsia="Times New Roman" w:hAnsi="Times New Roman"/>
          <w:color w:val="121212"/>
        </w:rPr>
        <w:t xml:space="preserve"> thinking about if the sounds </w:t>
      </w:r>
      <w:r w:rsidR="0074742B">
        <w:rPr>
          <w:rFonts w:ascii="Times New Roman" w:eastAsia="Times New Roman" w:hAnsi="Times New Roman"/>
          <w:color w:val="121212"/>
        </w:rPr>
        <w:t>spoken</w:t>
      </w:r>
      <w:r w:rsidRPr="004102AE">
        <w:rPr>
          <w:rFonts w:ascii="Times New Roman" w:eastAsia="Times New Roman" w:hAnsi="Times New Roman"/>
          <w:color w:val="121212"/>
        </w:rPr>
        <w:t xml:space="preserve"> match the letters in the words, helping students to chunk longer words into parts </w:t>
      </w:r>
      <w:r w:rsidR="0074742B">
        <w:rPr>
          <w:rFonts w:ascii="Times New Roman" w:eastAsia="Times New Roman" w:hAnsi="Times New Roman"/>
          <w:color w:val="121212"/>
        </w:rPr>
        <w:t>known</w:t>
      </w:r>
      <w:r w:rsidRPr="004102AE">
        <w:rPr>
          <w:rFonts w:ascii="Times New Roman" w:eastAsia="Times New Roman" w:hAnsi="Times New Roman"/>
          <w:color w:val="121212"/>
        </w:rPr>
        <w:t xml:space="preserve"> and going back and rereading if what </w:t>
      </w:r>
      <w:r w:rsidR="00807550">
        <w:rPr>
          <w:rFonts w:ascii="Times New Roman" w:eastAsia="Times New Roman" w:hAnsi="Times New Roman"/>
          <w:color w:val="121212"/>
        </w:rPr>
        <w:t>was</w:t>
      </w:r>
      <w:r w:rsidR="0074742B">
        <w:rPr>
          <w:rFonts w:ascii="Times New Roman" w:eastAsia="Times New Roman" w:hAnsi="Times New Roman"/>
          <w:color w:val="121212"/>
        </w:rPr>
        <w:t xml:space="preserve"> said</w:t>
      </w:r>
      <w:r w:rsidR="00807550">
        <w:rPr>
          <w:rFonts w:ascii="Times New Roman" w:eastAsia="Times New Roman" w:hAnsi="Times New Roman"/>
          <w:color w:val="121212"/>
        </w:rPr>
        <w:t xml:space="preserve"> did</w:t>
      </w:r>
      <w:r w:rsidRPr="004102AE">
        <w:rPr>
          <w:rFonts w:ascii="Times New Roman" w:eastAsia="Times New Roman" w:hAnsi="Times New Roman"/>
          <w:color w:val="121212"/>
        </w:rPr>
        <w:t xml:space="preserve"> not make sense. </w:t>
      </w:r>
      <w:r w:rsidR="006E495A">
        <w:rPr>
          <w:rFonts w:ascii="Times New Roman" w:eastAsia="Times New Roman" w:hAnsi="Times New Roman"/>
          <w:color w:val="121212"/>
        </w:rPr>
        <w:t>In order to make sure students were having an opportunity to practice their metacognitive strategies, A. and J. also participated in word sort activities.  The students were given word flashcards they had to sort each week based on a set of criteria, usually long and short vowel sounds</w:t>
      </w:r>
      <w:r w:rsidR="00435128">
        <w:rPr>
          <w:rFonts w:ascii="Times New Roman" w:eastAsia="Times New Roman" w:hAnsi="Times New Roman"/>
          <w:color w:val="121212"/>
        </w:rPr>
        <w:t>, as that was an area that showed up as deficient during my initial assessments</w:t>
      </w:r>
      <w:r w:rsidR="006E495A">
        <w:rPr>
          <w:rFonts w:ascii="Times New Roman" w:eastAsia="Times New Roman" w:hAnsi="Times New Roman"/>
          <w:color w:val="121212"/>
        </w:rPr>
        <w:t>.  As it was described in Gaskins, et al.</w:t>
      </w:r>
      <w:r w:rsidR="00807550">
        <w:rPr>
          <w:rFonts w:ascii="Times New Roman" w:eastAsia="Times New Roman" w:hAnsi="Times New Roman"/>
          <w:color w:val="121212"/>
        </w:rPr>
        <w:t xml:space="preserve"> (1988)</w:t>
      </w:r>
      <w:r w:rsidR="006E495A">
        <w:rPr>
          <w:rFonts w:ascii="Times New Roman" w:eastAsia="Times New Roman" w:hAnsi="Times New Roman"/>
          <w:color w:val="121212"/>
        </w:rPr>
        <w:t xml:space="preserve">, the A. and J. had to compare and contrast the different sound in the words to determine where to sort them.   </w:t>
      </w:r>
    </w:p>
    <w:p w:rsidR="00C94438" w:rsidRDefault="00435128" w:rsidP="00E83277">
      <w:pPr>
        <w:spacing w:after="0" w:line="480" w:lineRule="auto"/>
        <w:jc w:val="center"/>
        <w:outlineLvl w:val="0"/>
        <w:rPr>
          <w:rFonts w:ascii="Times New Roman" w:hAnsi="Times New Roman"/>
          <w:b/>
        </w:rPr>
      </w:pPr>
      <w:r>
        <w:rPr>
          <w:rFonts w:ascii="Times New Roman" w:hAnsi="Times New Roman"/>
          <w:b/>
        </w:rPr>
        <w:t>Methodology</w:t>
      </w:r>
    </w:p>
    <w:p w:rsidR="007D4B11" w:rsidRDefault="006E495A" w:rsidP="00723934">
      <w:pPr>
        <w:spacing w:after="0" w:line="480" w:lineRule="auto"/>
        <w:ind w:firstLine="720"/>
        <w:rPr>
          <w:rFonts w:ascii="Times New Roman" w:eastAsia="Times New Roman" w:hAnsi="Times New Roman"/>
          <w:color w:val="121212"/>
        </w:rPr>
      </w:pPr>
      <w:r w:rsidRPr="004102AE">
        <w:rPr>
          <w:rFonts w:ascii="Times New Roman" w:eastAsia="Times New Roman" w:hAnsi="Times New Roman"/>
          <w:color w:val="121212"/>
        </w:rPr>
        <w:t>T</w:t>
      </w:r>
      <w:r w:rsidR="007D4B11">
        <w:rPr>
          <w:rFonts w:ascii="Times New Roman" w:eastAsia="Times New Roman" w:hAnsi="Times New Roman"/>
          <w:color w:val="121212"/>
        </w:rPr>
        <w:t>hroughout these sessions, I made</w:t>
      </w:r>
      <w:r w:rsidRPr="004102AE">
        <w:rPr>
          <w:rFonts w:ascii="Times New Roman" w:eastAsia="Times New Roman" w:hAnsi="Times New Roman"/>
          <w:color w:val="121212"/>
        </w:rPr>
        <w:t xml:space="preserve"> notes on </w:t>
      </w:r>
      <w:r w:rsidR="007D4B11">
        <w:rPr>
          <w:rFonts w:ascii="Times New Roman" w:eastAsia="Times New Roman" w:hAnsi="Times New Roman"/>
          <w:color w:val="121212"/>
        </w:rPr>
        <w:t xml:space="preserve">miscues to see if they continued </w:t>
      </w:r>
      <w:r w:rsidRPr="004102AE">
        <w:rPr>
          <w:rFonts w:ascii="Times New Roman" w:eastAsia="Times New Roman" w:hAnsi="Times New Roman"/>
          <w:color w:val="121212"/>
        </w:rPr>
        <w:t>to make visual miscues</w:t>
      </w:r>
      <w:r w:rsidR="00B47522">
        <w:rPr>
          <w:rFonts w:ascii="Times New Roman" w:eastAsia="Times New Roman" w:hAnsi="Times New Roman"/>
          <w:color w:val="121212"/>
        </w:rPr>
        <w:t xml:space="preserve"> (like saying “things” for “this”)</w:t>
      </w:r>
      <w:r w:rsidRPr="004102AE">
        <w:rPr>
          <w:rFonts w:ascii="Times New Roman" w:eastAsia="Times New Roman" w:hAnsi="Times New Roman"/>
          <w:color w:val="121212"/>
        </w:rPr>
        <w:t xml:space="preserve"> or if they </w:t>
      </w:r>
      <w:r w:rsidR="007D4B11">
        <w:rPr>
          <w:rFonts w:ascii="Times New Roman" w:eastAsia="Times New Roman" w:hAnsi="Times New Roman"/>
          <w:color w:val="121212"/>
        </w:rPr>
        <w:t>were</w:t>
      </w:r>
      <w:r w:rsidRPr="004102AE">
        <w:rPr>
          <w:rFonts w:ascii="Times New Roman" w:eastAsia="Times New Roman" w:hAnsi="Times New Roman"/>
          <w:color w:val="121212"/>
        </w:rPr>
        <w:t xml:space="preserve"> </w:t>
      </w:r>
      <w:r w:rsidR="007D4B11">
        <w:rPr>
          <w:rFonts w:ascii="Times New Roman" w:eastAsia="Times New Roman" w:hAnsi="Times New Roman"/>
          <w:color w:val="121212"/>
        </w:rPr>
        <w:t>starting</w:t>
      </w:r>
      <w:r w:rsidRPr="004102AE">
        <w:rPr>
          <w:rFonts w:ascii="Times New Roman" w:eastAsia="Times New Roman" w:hAnsi="Times New Roman"/>
          <w:color w:val="121212"/>
        </w:rPr>
        <w:t xml:space="preserve"> to make more meaning miscues (</w:t>
      </w:r>
      <w:r w:rsidR="00B47522">
        <w:rPr>
          <w:rFonts w:ascii="Times New Roman" w:eastAsia="Times New Roman" w:hAnsi="Times New Roman"/>
          <w:color w:val="121212"/>
        </w:rPr>
        <w:t xml:space="preserve">like saying “fall” for “autumn”). </w:t>
      </w:r>
      <w:r w:rsidRPr="004102AE">
        <w:rPr>
          <w:rFonts w:ascii="Times New Roman" w:eastAsia="Times New Roman" w:hAnsi="Times New Roman"/>
          <w:color w:val="121212"/>
        </w:rPr>
        <w:t xml:space="preserve">During these </w:t>
      </w:r>
      <w:r w:rsidR="00C94438">
        <w:rPr>
          <w:rFonts w:ascii="Times New Roman" w:eastAsia="Times New Roman" w:hAnsi="Times New Roman"/>
          <w:color w:val="121212"/>
        </w:rPr>
        <w:t>sessions</w:t>
      </w:r>
      <w:r w:rsidR="007D4B11">
        <w:rPr>
          <w:rFonts w:ascii="Times New Roman" w:eastAsia="Times New Roman" w:hAnsi="Times New Roman"/>
          <w:color w:val="121212"/>
        </w:rPr>
        <w:t xml:space="preserve"> I also tried</w:t>
      </w:r>
      <w:r w:rsidRPr="004102AE">
        <w:rPr>
          <w:rFonts w:ascii="Times New Roman" w:eastAsia="Times New Roman" w:hAnsi="Times New Roman"/>
          <w:color w:val="121212"/>
        </w:rPr>
        <w:t xml:space="preserve"> to jot down my feelings about how the lessons are going and what my impressions of the events in my classroom </w:t>
      </w:r>
      <w:r w:rsidR="00C94438">
        <w:rPr>
          <w:rFonts w:ascii="Times New Roman" w:eastAsia="Times New Roman" w:hAnsi="Times New Roman"/>
          <w:color w:val="121212"/>
        </w:rPr>
        <w:t>were</w:t>
      </w:r>
      <w:r w:rsidRPr="004102AE">
        <w:rPr>
          <w:rFonts w:ascii="Times New Roman" w:eastAsia="Times New Roman" w:hAnsi="Times New Roman"/>
          <w:color w:val="121212"/>
        </w:rPr>
        <w:t>. I ask</w:t>
      </w:r>
      <w:r w:rsidR="00C94438">
        <w:rPr>
          <w:rFonts w:ascii="Times New Roman" w:eastAsia="Times New Roman" w:hAnsi="Times New Roman"/>
          <w:color w:val="121212"/>
        </w:rPr>
        <w:t>ed</w:t>
      </w:r>
      <w:r w:rsidRPr="004102AE">
        <w:rPr>
          <w:rFonts w:ascii="Times New Roman" w:eastAsia="Times New Roman" w:hAnsi="Times New Roman"/>
          <w:color w:val="121212"/>
        </w:rPr>
        <w:t xml:space="preserve"> the students questions to learn more about what they think about their reading. I have al</w:t>
      </w:r>
      <w:r w:rsidR="007D4B11">
        <w:rPr>
          <w:rFonts w:ascii="Times New Roman" w:eastAsia="Times New Roman" w:hAnsi="Times New Roman"/>
          <w:color w:val="121212"/>
        </w:rPr>
        <w:t>so noticed that the students mad</w:t>
      </w:r>
      <w:r w:rsidRPr="004102AE">
        <w:rPr>
          <w:rFonts w:ascii="Times New Roman" w:eastAsia="Times New Roman" w:hAnsi="Times New Roman"/>
          <w:color w:val="121212"/>
        </w:rPr>
        <w:t>e comments during our sessions that show</w:t>
      </w:r>
      <w:r w:rsidR="00807550">
        <w:rPr>
          <w:rFonts w:ascii="Times New Roman" w:eastAsia="Times New Roman" w:hAnsi="Times New Roman"/>
          <w:color w:val="121212"/>
        </w:rPr>
        <w:t>ed</w:t>
      </w:r>
      <w:r w:rsidRPr="004102AE">
        <w:rPr>
          <w:rFonts w:ascii="Times New Roman" w:eastAsia="Times New Roman" w:hAnsi="Times New Roman"/>
          <w:color w:val="121212"/>
        </w:rPr>
        <w:t xml:space="preserve"> me that they </w:t>
      </w:r>
      <w:r w:rsidR="007D4B11">
        <w:rPr>
          <w:rFonts w:ascii="Times New Roman" w:eastAsia="Times New Roman" w:hAnsi="Times New Roman"/>
          <w:color w:val="121212"/>
        </w:rPr>
        <w:t>were</w:t>
      </w:r>
      <w:r w:rsidRPr="004102AE">
        <w:rPr>
          <w:rFonts w:ascii="Times New Roman" w:eastAsia="Times New Roman" w:hAnsi="Times New Roman"/>
          <w:color w:val="121212"/>
        </w:rPr>
        <w:t xml:space="preserve"> thinking about what they are reading, </w:t>
      </w:r>
      <w:r w:rsidR="0074742B">
        <w:rPr>
          <w:rFonts w:ascii="Times New Roman" w:eastAsia="Times New Roman" w:hAnsi="Times New Roman"/>
          <w:color w:val="121212"/>
        </w:rPr>
        <w:t>such as “Wait, that’s not right!</w:t>
      </w:r>
      <w:r w:rsidRPr="004102AE">
        <w:rPr>
          <w:rFonts w:ascii="Times New Roman" w:eastAsia="Times New Roman" w:hAnsi="Times New Roman"/>
          <w:color w:val="121212"/>
        </w:rPr>
        <w:t xml:space="preserve">” before they </w:t>
      </w:r>
      <w:r w:rsidR="007D4B11">
        <w:rPr>
          <w:rFonts w:ascii="Times New Roman" w:eastAsia="Times New Roman" w:hAnsi="Times New Roman"/>
          <w:color w:val="121212"/>
        </w:rPr>
        <w:t>went</w:t>
      </w:r>
      <w:r w:rsidRPr="004102AE">
        <w:rPr>
          <w:rFonts w:ascii="Times New Roman" w:eastAsia="Times New Roman" w:hAnsi="Times New Roman"/>
          <w:color w:val="121212"/>
        </w:rPr>
        <w:t xml:space="preserve"> back and </w:t>
      </w:r>
      <w:r w:rsidR="007D4B11">
        <w:rPr>
          <w:rFonts w:ascii="Times New Roman" w:eastAsia="Times New Roman" w:hAnsi="Times New Roman"/>
          <w:color w:val="121212"/>
        </w:rPr>
        <w:t>tried</w:t>
      </w:r>
      <w:r w:rsidRPr="004102AE">
        <w:rPr>
          <w:rFonts w:ascii="Times New Roman" w:eastAsia="Times New Roman" w:hAnsi="Times New Roman"/>
          <w:color w:val="121212"/>
        </w:rPr>
        <w:t xml:space="preserve"> again</w:t>
      </w:r>
      <w:r w:rsidR="007D4B11">
        <w:rPr>
          <w:rFonts w:ascii="Times New Roman" w:eastAsia="Times New Roman" w:hAnsi="Times New Roman"/>
          <w:color w:val="121212"/>
        </w:rPr>
        <w:t xml:space="preserve"> the word again.  I </w:t>
      </w:r>
      <w:r w:rsidRPr="004102AE">
        <w:rPr>
          <w:rFonts w:ascii="Times New Roman" w:eastAsia="Times New Roman" w:hAnsi="Times New Roman"/>
          <w:color w:val="121212"/>
        </w:rPr>
        <w:t>record</w:t>
      </w:r>
      <w:r w:rsidR="007D4B11">
        <w:rPr>
          <w:rFonts w:ascii="Times New Roman" w:eastAsia="Times New Roman" w:hAnsi="Times New Roman"/>
          <w:color w:val="121212"/>
        </w:rPr>
        <w:t>ed</w:t>
      </w:r>
      <w:r w:rsidRPr="004102AE">
        <w:rPr>
          <w:rFonts w:ascii="Times New Roman" w:eastAsia="Times New Roman" w:hAnsi="Times New Roman"/>
          <w:color w:val="121212"/>
        </w:rPr>
        <w:t xml:space="preserve"> these comments as well.  Each week I also administer</w:t>
      </w:r>
      <w:r w:rsidR="00C94438">
        <w:rPr>
          <w:rFonts w:ascii="Times New Roman" w:eastAsia="Times New Roman" w:hAnsi="Times New Roman"/>
          <w:color w:val="121212"/>
        </w:rPr>
        <w:t>ed</w:t>
      </w:r>
      <w:r w:rsidRPr="004102AE">
        <w:rPr>
          <w:rFonts w:ascii="Times New Roman" w:eastAsia="Times New Roman" w:hAnsi="Times New Roman"/>
          <w:color w:val="121212"/>
        </w:rPr>
        <w:t xml:space="preserve"> a Reading –Curriculum Based Measure </w:t>
      </w:r>
      <w:r w:rsidR="007D4B11">
        <w:rPr>
          <w:rFonts w:ascii="Times New Roman" w:eastAsia="Times New Roman" w:hAnsi="Times New Roman"/>
          <w:color w:val="121212"/>
        </w:rPr>
        <w:t>(R-CBM), which measured</w:t>
      </w:r>
      <w:r w:rsidR="00C94438">
        <w:rPr>
          <w:rFonts w:ascii="Times New Roman" w:eastAsia="Times New Roman" w:hAnsi="Times New Roman"/>
          <w:color w:val="121212"/>
        </w:rPr>
        <w:t xml:space="preserve"> fluency and accuracy, </w:t>
      </w:r>
      <w:r w:rsidRPr="004102AE">
        <w:rPr>
          <w:rFonts w:ascii="Times New Roman" w:eastAsia="Times New Roman" w:hAnsi="Times New Roman"/>
          <w:color w:val="121212"/>
        </w:rPr>
        <w:t>because I am requir</w:t>
      </w:r>
      <w:r w:rsidR="00807550">
        <w:rPr>
          <w:rFonts w:ascii="Times New Roman" w:eastAsia="Times New Roman" w:hAnsi="Times New Roman"/>
          <w:color w:val="121212"/>
        </w:rPr>
        <w:t>ed to do so by my school for at-</w:t>
      </w:r>
      <w:r w:rsidRPr="004102AE">
        <w:rPr>
          <w:rFonts w:ascii="Times New Roman" w:eastAsia="Times New Roman" w:hAnsi="Times New Roman"/>
          <w:color w:val="121212"/>
        </w:rPr>
        <w:t xml:space="preserve">risk readers who are involved in an intervention program. </w:t>
      </w:r>
      <w:r w:rsidR="00C94438">
        <w:rPr>
          <w:rFonts w:ascii="Times New Roman" w:eastAsia="Times New Roman" w:hAnsi="Times New Roman"/>
          <w:color w:val="121212"/>
        </w:rPr>
        <w:t xml:space="preserve">I gave the Phonics Test by Ekwall and Shanker (2010), </w:t>
      </w:r>
      <w:r w:rsidRPr="004102AE">
        <w:rPr>
          <w:rFonts w:ascii="Times New Roman" w:eastAsia="Times New Roman" w:hAnsi="Times New Roman"/>
          <w:color w:val="121212"/>
        </w:rPr>
        <w:t xml:space="preserve">which </w:t>
      </w:r>
      <w:r w:rsidR="007D4B11">
        <w:rPr>
          <w:rFonts w:ascii="Times New Roman" w:eastAsia="Times New Roman" w:hAnsi="Times New Roman"/>
          <w:color w:val="121212"/>
        </w:rPr>
        <w:t>broke</w:t>
      </w:r>
      <w:r w:rsidRPr="004102AE">
        <w:rPr>
          <w:rFonts w:ascii="Times New Roman" w:eastAsia="Times New Roman" w:hAnsi="Times New Roman"/>
          <w:color w:val="121212"/>
        </w:rPr>
        <w:t xml:space="preserve"> down </w:t>
      </w:r>
      <w:r w:rsidR="00C94438">
        <w:rPr>
          <w:rFonts w:ascii="Times New Roman" w:eastAsia="Times New Roman" w:hAnsi="Times New Roman"/>
          <w:color w:val="121212"/>
        </w:rPr>
        <w:t xml:space="preserve">student performance on </w:t>
      </w:r>
      <w:r w:rsidRPr="004102AE">
        <w:rPr>
          <w:rFonts w:ascii="Times New Roman" w:eastAsia="Times New Roman" w:hAnsi="Times New Roman"/>
          <w:color w:val="121212"/>
        </w:rPr>
        <w:t xml:space="preserve">skills </w:t>
      </w:r>
      <w:r w:rsidR="00C94438">
        <w:rPr>
          <w:rFonts w:ascii="Times New Roman" w:eastAsia="Times New Roman" w:hAnsi="Times New Roman"/>
          <w:color w:val="121212"/>
        </w:rPr>
        <w:t xml:space="preserve">in different areas of phonics at both the beginning and end of the intervention.  </w:t>
      </w:r>
    </w:p>
    <w:p w:rsidR="00B47522" w:rsidRDefault="00C94438" w:rsidP="00723934">
      <w:pPr>
        <w:spacing w:after="0" w:line="480" w:lineRule="auto"/>
        <w:ind w:firstLine="720"/>
        <w:rPr>
          <w:rFonts w:ascii="Times New Roman" w:eastAsia="Times New Roman" w:hAnsi="Times New Roman"/>
          <w:color w:val="121212"/>
        </w:rPr>
      </w:pPr>
      <w:r>
        <w:rPr>
          <w:rFonts w:ascii="Times New Roman" w:eastAsia="Times New Roman" w:hAnsi="Times New Roman"/>
          <w:color w:val="121212"/>
        </w:rPr>
        <w:t>I also decided to gi</w:t>
      </w:r>
      <w:r w:rsidR="006E495A" w:rsidRPr="004102AE">
        <w:rPr>
          <w:rFonts w:ascii="Times New Roman" w:eastAsia="Times New Roman" w:hAnsi="Times New Roman"/>
          <w:color w:val="121212"/>
        </w:rPr>
        <w:t>ve the Elementary Reading Attitude Survey (McKenna and Kear, 1990) to my entire class. </w:t>
      </w:r>
      <w:r>
        <w:rPr>
          <w:rFonts w:ascii="Times New Roman" w:eastAsia="Times New Roman" w:hAnsi="Times New Roman"/>
          <w:color w:val="121212"/>
        </w:rPr>
        <w:t>I looked at the responses of</w:t>
      </w:r>
      <w:r w:rsidR="006E495A" w:rsidRPr="004102AE">
        <w:rPr>
          <w:rFonts w:ascii="Times New Roman" w:eastAsia="Times New Roman" w:hAnsi="Times New Roman"/>
          <w:color w:val="121212"/>
        </w:rPr>
        <w:t xml:space="preserve"> A. and J. and compare</w:t>
      </w:r>
      <w:r>
        <w:rPr>
          <w:rFonts w:ascii="Times New Roman" w:eastAsia="Times New Roman" w:hAnsi="Times New Roman"/>
          <w:color w:val="121212"/>
        </w:rPr>
        <w:t>d</w:t>
      </w:r>
      <w:r w:rsidR="006E495A" w:rsidRPr="004102AE">
        <w:rPr>
          <w:rFonts w:ascii="Times New Roman" w:eastAsia="Times New Roman" w:hAnsi="Times New Roman"/>
          <w:color w:val="121212"/>
        </w:rPr>
        <w:t xml:space="preserve"> them to the rest of my class. </w:t>
      </w:r>
      <w:r>
        <w:rPr>
          <w:rFonts w:ascii="Times New Roman" w:eastAsia="Times New Roman" w:hAnsi="Times New Roman"/>
          <w:color w:val="121212"/>
        </w:rPr>
        <w:t>I wanted to gain some</w:t>
      </w:r>
      <w:r w:rsidR="006E495A" w:rsidRPr="004102AE">
        <w:rPr>
          <w:rFonts w:ascii="Times New Roman" w:eastAsia="Times New Roman" w:hAnsi="Times New Roman"/>
          <w:color w:val="121212"/>
        </w:rPr>
        <w:t xml:space="preserve"> insight into their feelings toward reading and how that may </w:t>
      </w:r>
      <w:r w:rsidR="007D4B11">
        <w:rPr>
          <w:rFonts w:ascii="Times New Roman" w:eastAsia="Times New Roman" w:hAnsi="Times New Roman"/>
          <w:color w:val="121212"/>
        </w:rPr>
        <w:t xml:space="preserve">have </w:t>
      </w:r>
      <w:r w:rsidR="006E495A" w:rsidRPr="004102AE">
        <w:rPr>
          <w:rFonts w:ascii="Times New Roman" w:eastAsia="Times New Roman" w:hAnsi="Times New Roman"/>
          <w:color w:val="121212"/>
        </w:rPr>
        <w:t>impact</w:t>
      </w:r>
      <w:r w:rsidR="007D4B11">
        <w:rPr>
          <w:rFonts w:ascii="Times New Roman" w:eastAsia="Times New Roman" w:hAnsi="Times New Roman"/>
          <w:color w:val="121212"/>
        </w:rPr>
        <w:t>ed</w:t>
      </w:r>
      <w:r w:rsidR="006E495A" w:rsidRPr="004102AE">
        <w:rPr>
          <w:rFonts w:ascii="Times New Roman" w:eastAsia="Times New Roman" w:hAnsi="Times New Roman"/>
          <w:color w:val="121212"/>
        </w:rPr>
        <w:t xml:space="preserve"> their performance in the classroom.  I </w:t>
      </w:r>
      <w:r>
        <w:rPr>
          <w:rFonts w:ascii="Times New Roman" w:eastAsia="Times New Roman" w:hAnsi="Times New Roman"/>
          <w:color w:val="121212"/>
        </w:rPr>
        <w:t xml:space="preserve">repeated this survey with A. and J. to compare their initial feelings toward their reading abilities at the beginning and the end of the intervention period. </w:t>
      </w:r>
      <w:r w:rsidR="00B47522">
        <w:rPr>
          <w:rFonts w:ascii="Times New Roman" w:eastAsia="Times New Roman" w:hAnsi="Times New Roman"/>
          <w:color w:val="121212"/>
        </w:rPr>
        <w:t xml:space="preserve"> </w:t>
      </w:r>
      <w:r w:rsidR="006E495A" w:rsidRPr="004102AE">
        <w:rPr>
          <w:rFonts w:ascii="Times New Roman" w:eastAsia="Times New Roman" w:hAnsi="Times New Roman"/>
          <w:color w:val="121212"/>
        </w:rPr>
        <w:t>I developed a set of questions to ask A. and J. throughout our sessions to see if their feelings or attitudes toward reading change</w:t>
      </w:r>
      <w:r w:rsidR="007D4B11">
        <w:rPr>
          <w:rFonts w:ascii="Times New Roman" w:eastAsia="Times New Roman" w:hAnsi="Times New Roman"/>
          <w:color w:val="121212"/>
        </w:rPr>
        <w:t>d</w:t>
      </w:r>
      <w:r w:rsidR="006E495A" w:rsidRPr="004102AE">
        <w:rPr>
          <w:rFonts w:ascii="Times New Roman" w:eastAsia="Times New Roman" w:hAnsi="Times New Roman"/>
          <w:color w:val="121212"/>
        </w:rPr>
        <w:t xml:space="preserve"> over the course of this study. I ask</w:t>
      </w:r>
      <w:r w:rsidR="007D4B11">
        <w:rPr>
          <w:rFonts w:ascii="Times New Roman" w:eastAsia="Times New Roman" w:hAnsi="Times New Roman"/>
          <w:color w:val="121212"/>
        </w:rPr>
        <w:t>ed</w:t>
      </w:r>
      <w:r w:rsidR="006E495A" w:rsidRPr="004102AE">
        <w:rPr>
          <w:rFonts w:ascii="Times New Roman" w:eastAsia="Times New Roman" w:hAnsi="Times New Roman"/>
          <w:color w:val="121212"/>
        </w:rPr>
        <w:t xml:space="preserve"> them three questions: </w:t>
      </w:r>
      <w:r w:rsidR="006E495A" w:rsidRPr="00B47522">
        <w:rPr>
          <w:rFonts w:ascii="Times New Roman" w:eastAsia="Times New Roman" w:hAnsi="Times New Roman"/>
          <w:i/>
          <w:color w:val="121212"/>
        </w:rPr>
        <w:t>What do you think about when you read?  What do you do when you come to a word you don’t know?   Can you tell a difference in your reading from the before we started reading poetry and now? </w:t>
      </w:r>
    </w:p>
    <w:p w:rsidR="00435128" w:rsidRPr="00B47522" w:rsidRDefault="00B47522" w:rsidP="00723934">
      <w:pPr>
        <w:spacing w:after="0" w:line="480" w:lineRule="auto"/>
        <w:ind w:firstLine="720"/>
        <w:rPr>
          <w:rFonts w:ascii="Times New Roman" w:eastAsia="Times New Roman" w:hAnsi="Times New Roman"/>
          <w:color w:val="121212"/>
        </w:rPr>
      </w:pPr>
      <w:r>
        <w:rPr>
          <w:rFonts w:ascii="Times New Roman" w:eastAsia="Times New Roman" w:hAnsi="Times New Roman"/>
          <w:color w:val="121212"/>
        </w:rPr>
        <w:t xml:space="preserve">When analyzing the data I collected I looked for patterns that student fluency and accuracy were improving.  I wanted to </w:t>
      </w:r>
      <w:r w:rsidR="00807550">
        <w:rPr>
          <w:rFonts w:ascii="Times New Roman" w:eastAsia="Times New Roman" w:hAnsi="Times New Roman"/>
          <w:color w:val="121212"/>
        </w:rPr>
        <w:t xml:space="preserve">determine </w:t>
      </w:r>
      <w:r>
        <w:rPr>
          <w:rFonts w:ascii="Times New Roman" w:eastAsia="Times New Roman" w:hAnsi="Times New Roman"/>
          <w:color w:val="121212"/>
        </w:rPr>
        <w:t>if their word</w:t>
      </w:r>
      <w:r w:rsidR="00807550">
        <w:rPr>
          <w:rFonts w:ascii="Times New Roman" w:eastAsia="Times New Roman" w:hAnsi="Times New Roman"/>
          <w:color w:val="121212"/>
        </w:rPr>
        <w:t>s</w:t>
      </w:r>
      <w:r>
        <w:rPr>
          <w:rFonts w:ascii="Times New Roman" w:eastAsia="Times New Roman" w:hAnsi="Times New Roman"/>
          <w:color w:val="121212"/>
        </w:rPr>
        <w:t xml:space="preserve"> correct per minute (WCPM) increased and if their accuracy, as measured by percent of words correct to total words read, also increased. I also chose to code my surveys, field notes and interviews to look for patterns that students were thinking about their reading process and using</w:t>
      </w:r>
      <w:r w:rsidR="00807550">
        <w:rPr>
          <w:rFonts w:ascii="Times New Roman" w:eastAsia="Times New Roman" w:hAnsi="Times New Roman"/>
          <w:color w:val="121212"/>
        </w:rPr>
        <w:t xml:space="preserve"> metacognitive strategies.   I looked </w:t>
      </w:r>
      <w:r>
        <w:rPr>
          <w:rFonts w:ascii="Times New Roman" w:eastAsia="Times New Roman" w:hAnsi="Times New Roman"/>
          <w:color w:val="121212"/>
        </w:rPr>
        <w:t xml:space="preserve">at the Elementary Reading </w:t>
      </w:r>
      <w:r w:rsidR="00C64FBE">
        <w:rPr>
          <w:rFonts w:ascii="Times New Roman" w:eastAsia="Times New Roman" w:hAnsi="Times New Roman"/>
          <w:color w:val="121212"/>
        </w:rPr>
        <w:t>Attitude</w:t>
      </w:r>
      <w:r w:rsidR="007D4B11">
        <w:rPr>
          <w:rFonts w:ascii="Times New Roman" w:eastAsia="Times New Roman" w:hAnsi="Times New Roman"/>
          <w:color w:val="121212"/>
        </w:rPr>
        <w:t xml:space="preserve"> Survey to see how</w:t>
      </w:r>
      <w:r>
        <w:rPr>
          <w:rFonts w:ascii="Times New Roman" w:eastAsia="Times New Roman" w:hAnsi="Times New Roman"/>
          <w:color w:val="121212"/>
        </w:rPr>
        <w:t xml:space="preserve"> the students’ perceptions of themselves may have impacted their reading </w:t>
      </w:r>
      <w:r w:rsidR="00C64FBE">
        <w:rPr>
          <w:rFonts w:ascii="Times New Roman" w:eastAsia="Times New Roman" w:hAnsi="Times New Roman"/>
          <w:color w:val="121212"/>
        </w:rPr>
        <w:t xml:space="preserve">or changed throughout the course of the intervention. </w:t>
      </w:r>
    </w:p>
    <w:p w:rsidR="007F660B" w:rsidRDefault="00435128" w:rsidP="00E83277">
      <w:pPr>
        <w:spacing w:before="100" w:beforeAutospacing="1" w:after="0" w:line="480" w:lineRule="auto"/>
        <w:jc w:val="center"/>
        <w:outlineLvl w:val="0"/>
        <w:rPr>
          <w:rFonts w:ascii="Times New Roman" w:hAnsi="Times New Roman"/>
          <w:b/>
        </w:rPr>
      </w:pPr>
      <w:r>
        <w:rPr>
          <w:rFonts w:ascii="Times New Roman" w:hAnsi="Times New Roman"/>
          <w:b/>
        </w:rPr>
        <w:t>Findings</w:t>
      </w:r>
    </w:p>
    <w:p w:rsidR="001F6EF6" w:rsidRPr="007F660B" w:rsidRDefault="007F660B" w:rsidP="007F660B">
      <w:pPr>
        <w:spacing w:before="100" w:beforeAutospacing="1" w:after="0" w:line="480" w:lineRule="auto"/>
        <w:rPr>
          <w:rFonts w:ascii="Times New Roman" w:hAnsi="Times New Roman"/>
        </w:rPr>
      </w:pPr>
      <w:r>
        <w:rPr>
          <w:rFonts w:ascii="Times New Roman" w:hAnsi="Times New Roman"/>
        </w:rPr>
        <w:tab/>
        <w:t>The results of this study were encouraging.  Both students increased their accuracy and showed evidence of using metacognitive strategies when decoding.  Fluency results show</w:t>
      </w:r>
      <w:r w:rsidR="00807550">
        <w:rPr>
          <w:rFonts w:ascii="Times New Roman" w:hAnsi="Times New Roman"/>
        </w:rPr>
        <w:t>ed</w:t>
      </w:r>
      <w:r>
        <w:rPr>
          <w:rFonts w:ascii="Times New Roman" w:hAnsi="Times New Roman"/>
        </w:rPr>
        <w:t xml:space="preserve"> inconsistent progress.  Additionally, the Elementary Reading Attitude Survey (KcKenna &amp; Kear, 1990) provided insight into the students’ feelings toward reading.</w:t>
      </w:r>
    </w:p>
    <w:p w:rsidR="00226261" w:rsidRDefault="001F6EF6" w:rsidP="00E83277">
      <w:pPr>
        <w:spacing w:before="100" w:beforeAutospacing="1" w:after="0" w:line="480" w:lineRule="auto"/>
        <w:outlineLvl w:val="0"/>
        <w:rPr>
          <w:rFonts w:ascii="Times New Roman" w:hAnsi="Times New Roman"/>
          <w:b/>
        </w:rPr>
      </w:pPr>
      <w:r>
        <w:rPr>
          <w:rFonts w:ascii="Times New Roman" w:hAnsi="Times New Roman"/>
          <w:b/>
        </w:rPr>
        <w:t>Accuracy</w:t>
      </w:r>
    </w:p>
    <w:p w:rsidR="00226261" w:rsidRDefault="00226261" w:rsidP="00723934">
      <w:pPr>
        <w:spacing w:before="100" w:beforeAutospacing="1" w:after="0" w:line="480" w:lineRule="auto"/>
        <w:rPr>
          <w:rFonts w:ascii="Times New Roman" w:hAnsi="Times New Roman"/>
        </w:rPr>
      </w:pPr>
      <w:r>
        <w:rPr>
          <w:rFonts w:ascii="Times New Roman" w:hAnsi="Times New Roman"/>
        </w:rPr>
        <w:tab/>
        <w:t>Both A. and J. showed improvement in their overall accuracy throughout t</w:t>
      </w:r>
      <w:r w:rsidR="00807550">
        <w:rPr>
          <w:rFonts w:ascii="Times New Roman" w:hAnsi="Times New Roman"/>
        </w:rPr>
        <w:t>he course of the study. While it</w:t>
      </w:r>
      <w:r>
        <w:rPr>
          <w:rFonts w:ascii="Times New Roman" w:hAnsi="Times New Roman"/>
        </w:rPr>
        <w:t xml:space="preserve"> fluctuated from week to week, see Table 1, the average accuracy score from the duration of the study showed significant improvement from the students’ benchmark scores at the beginning of the year.  </w:t>
      </w:r>
      <w:r w:rsidR="00775E90">
        <w:rPr>
          <w:rFonts w:ascii="Times New Roman" w:hAnsi="Times New Roman"/>
        </w:rPr>
        <w:t xml:space="preserve">Additionally the results from the Ekwall Shanker Phonics Test (2010) showed improvements in terms of accuracy in all areas tested, see Table 2. </w:t>
      </w:r>
      <w:r w:rsidR="007D4B11">
        <w:rPr>
          <w:rFonts w:ascii="Times New Roman" w:hAnsi="Times New Roman"/>
        </w:rPr>
        <w:t>This table showed</w:t>
      </w:r>
      <w:r w:rsidR="00A70E7E">
        <w:rPr>
          <w:rFonts w:ascii="Times New Roman" w:hAnsi="Times New Roman"/>
        </w:rPr>
        <w:t xml:space="preserve"> the raw score for each subtest of the number of items </w:t>
      </w:r>
      <w:r w:rsidR="007D4B11">
        <w:rPr>
          <w:rFonts w:ascii="Times New Roman" w:hAnsi="Times New Roman"/>
        </w:rPr>
        <w:t xml:space="preserve">on the test the student answered </w:t>
      </w:r>
      <w:r w:rsidR="00A70E7E">
        <w:rPr>
          <w:rFonts w:ascii="Times New Roman" w:hAnsi="Times New Roman"/>
        </w:rPr>
        <w:t xml:space="preserve">correctly. </w:t>
      </w:r>
      <w:r w:rsidR="00775E90">
        <w:rPr>
          <w:rFonts w:ascii="Times New Roman" w:hAnsi="Times New Roman"/>
        </w:rPr>
        <w:t xml:space="preserve"> A. increased areas of mastery from one subtest on the pretest to three on the </w:t>
      </w:r>
      <w:r w:rsidR="000A5ABB">
        <w:rPr>
          <w:rFonts w:ascii="Times New Roman" w:hAnsi="Times New Roman"/>
        </w:rPr>
        <w:t>posttest</w:t>
      </w:r>
      <w:r w:rsidR="00775E90">
        <w:rPr>
          <w:rFonts w:ascii="Times New Roman" w:hAnsi="Times New Roman"/>
        </w:rPr>
        <w:t xml:space="preserve">.  J. </w:t>
      </w:r>
      <w:proofErr w:type="gramStart"/>
      <w:r w:rsidR="00775E90">
        <w:rPr>
          <w:rFonts w:ascii="Times New Roman" w:hAnsi="Times New Roman"/>
        </w:rPr>
        <w:t>increased</w:t>
      </w:r>
      <w:proofErr w:type="gramEnd"/>
      <w:r w:rsidR="00775E90">
        <w:rPr>
          <w:rFonts w:ascii="Times New Roman" w:hAnsi="Times New Roman"/>
        </w:rPr>
        <w:t xml:space="preserve"> areas of mastery from f</w:t>
      </w:r>
      <w:r w:rsidR="00807550">
        <w:rPr>
          <w:rFonts w:ascii="Times New Roman" w:hAnsi="Times New Roman"/>
        </w:rPr>
        <w:t>our subtests on the pretest to five</w:t>
      </w:r>
      <w:r w:rsidR="00775E90">
        <w:rPr>
          <w:rFonts w:ascii="Times New Roman" w:hAnsi="Times New Roman"/>
        </w:rPr>
        <w:t xml:space="preserve"> subtests on the </w:t>
      </w:r>
      <w:r w:rsidR="000A5ABB">
        <w:rPr>
          <w:rFonts w:ascii="Times New Roman" w:hAnsi="Times New Roman"/>
        </w:rPr>
        <w:t>posttest</w:t>
      </w:r>
      <w:r w:rsidR="00775E90">
        <w:rPr>
          <w:rFonts w:ascii="Times New Roman" w:hAnsi="Times New Roman"/>
        </w:rPr>
        <w:t xml:space="preserve">. </w:t>
      </w:r>
      <w:r w:rsidR="008008E0">
        <w:rPr>
          <w:rFonts w:ascii="Times New Roman" w:hAnsi="Times New Roman"/>
        </w:rPr>
        <w:t xml:space="preserve"> Subtests that students</w:t>
      </w:r>
      <w:r w:rsidR="00A70E7E">
        <w:rPr>
          <w:rFonts w:ascii="Times New Roman" w:hAnsi="Times New Roman"/>
        </w:rPr>
        <w:t xml:space="preserve"> had shown mastery in the pretest were not assessed in the posttest. </w:t>
      </w:r>
    </w:p>
    <w:p w:rsidR="00226261" w:rsidRDefault="00226261" w:rsidP="00E83277">
      <w:pPr>
        <w:spacing w:before="100" w:beforeAutospacing="1" w:after="0"/>
        <w:outlineLvl w:val="0"/>
        <w:rPr>
          <w:rFonts w:ascii="Times New Roman" w:hAnsi="Times New Roman"/>
        </w:rPr>
      </w:pPr>
      <w:r>
        <w:rPr>
          <w:rFonts w:ascii="Times New Roman" w:hAnsi="Times New Roman"/>
        </w:rPr>
        <w:t>Table 1</w:t>
      </w:r>
    </w:p>
    <w:p w:rsidR="00226261" w:rsidRDefault="00226261" w:rsidP="00723934">
      <w:pPr>
        <w:spacing w:before="100" w:beforeAutospacing="1" w:after="0"/>
        <w:rPr>
          <w:rFonts w:ascii="Times New Roman" w:hAnsi="Times New Roman"/>
        </w:rPr>
      </w:pPr>
      <w:r>
        <w:rPr>
          <w:rFonts w:ascii="Times New Roman" w:hAnsi="Times New Roman"/>
        </w:rPr>
        <w:t>Accuracy Rates from Aimsweb Reading Curriculum Based Measure</w:t>
      </w:r>
    </w:p>
    <w:tbl>
      <w:tblPr>
        <w:tblStyle w:val="LightShading-Accent4"/>
        <w:tblW w:w="0" w:type="auto"/>
        <w:tblLook w:val="04A0"/>
      </w:tblPr>
      <w:tblGrid>
        <w:gridCol w:w="2394"/>
        <w:gridCol w:w="2394"/>
        <w:gridCol w:w="2394"/>
      </w:tblGrid>
      <w:tr w:rsidR="00F92652">
        <w:trPr>
          <w:cnfStyle w:val="100000000000"/>
        </w:trPr>
        <w:tc>
          <w:tcPr>
            <w:cnfStyle w:val="001000000000"/>
            <w:tcW w:w="2394" w:type="dxa"/>
          </w:tcPr>
          <w:p w:rsidR="00F92652" w:rsidRDefault="00F92652" w:rsidP="00723934"/>
        </w:tc>
        <w:tc>
          <w:tcPr>
            <w:tcW w:w="2394" w:type="dxa"/>
          </w:tcPr>
          <w:p w:rsidR="00F92652" w:rsidRDefault="00F92652" w:rsidP="00723934">
            <w:pPr>
              <w:cnfStyle w:val="100000000000"/>
            </w:pPr>
            <w:r>
              <w:t>A.</w:t>
            </w:r>
          </w:p>
        </w:tc>
        <w:tc>
          <w:tcPr>
            <w:tcW w:w="2394" w:type="dxa"/>
          </w:tcPr>
          <w:p w:rsidR="00F92652" w:rsidRDefault="00F92652" w:rsidP="00723934">
            <w:pPr>
              <w:cnfStyle w:val="100000000000"/>
            </w:pPr>
            <w:r>
              <w:t>J.</w:t>
            </w:r>
          </w:p>
        </w:tc>
      </w:tr>
      <w:tr w:rsidR="00F92652">
        <w:trPr>
          <w:cnfStyle w:val="000000100000"/>
        </w:trPr>
        <w:tc>
          <w:tcPr>
            <w:cnfStyle w:val="001000000000"/>
            <w:tcW w:w="2394" w:type="dxa"/>
            <w:tcBorders>
              <w:top w:val="nil"/>
              <w:bottom w:val="nil"/>
            </w:tcBorders>
          </w:tcPr>
          <w:p w:rsidR="00F92652" w:rsidRDefault="00F92652" w:rsidP="007F660B">
            <w:r>
              <w:t>Benchmark</w:t>
            </w:r>
            <w:r w:rsidR="007F660B">
              <w:t xml:space="preserve">: </w:t>
            </w:r>
          </w:p>
        </w:tc>
        <w:tc>
          <w:tcPr>
            <w:tcW w:w="2394" w:type="dxa"/>
            <w:tcBorders>
              <w:top w:val="nil"/>
              <w:bottom w:val="nil"/>
            </w:tcBorders>
          </w:tcPr>
          <w:p w:rsidR="00F92652" w:rsidRDefault="007C4531" w:rsidP="00723934">
            <w:pPr>
              <w:cnfStyle w:val="000000100000"/>
            </w:pPr>
            <w:r>
              <w:t>86.4%</w:t>
            </w:r>
          </w:p>
        </w:tc>
        <w:tc>
          <w:tcPr>
            <w:tcW w:w="2394" w:type="dxa"/>
            <w:tcBorders>
              <w:top w:val="nil"/>
              <w:bottom w:val="nil"/>
            </w:tcBorders>
          </w:tcPr>
          <w:p w:rsidR="00F92652" w:rsidRDefault="007C4531" w:rsidP="00723934">
            <w:pPr>
              <w:cnfStyle w:val="000000100000"/>
            </w:pPr>
            <w:r>
              <w:t>86.0%</w:t>
            </w:r>
          </w:p>
        </w:tc>
      </w:tr>
      <w:tr w:rsidR="00F92652">
        <w:tc>
          <w:tcPr>
            <w:cnfStyle w:val="001000000000"/>
            <w:tcW w:w="2394" w:type="dxa"/>
            <w:tcBorders>
              <w:top w:val="nil"/>
              <w:left w:val="nil"/>
              <w:bottom w:val="nil"/>
              <w:right w:val="nil"/>
            </w:tcBorders>
          </w:tcPr>
          <w:p w:rsidR="00F92652" w:rsidRDefault="007C4531" w:rsidP="007F660B">
            <w:r>
              <w:t>Week 1</w:t>
            </w:r>
          </w:p>
        </w:tc>
        <w:tc>
          <w:tcPr>
            <w:tcW w:w="2394" w:type="dxa"/>
            <w:tcBorders>
              <w:top w:val="nil"/>
              <w:left w:val="nil"/>
              <w:bottom w:val="nil"/>
              <w:right w:val="nil"/>
            </w:tcBorders>
          </w:tcPr>
          <w:p w:rsidR="00F92652" w:rsidRDefault="007C4531" w:rsidP="00723934">
            <w:pPr>
              <w:cnfStyle w:val="000000000000"/>
            </w:pPr>
            <w:r>
              <w:t>91.3%</w:t>
            </w:r>
          </w:p>
        </w:tc>
        <w:tc>
          <w:tcPr>
            <w:tcW w:w="2394" w:type="dxa"/>
            <w:tcBorders>
              <w:top w:val="nil"/>
              <w:left w:val="nil"/>
              <w:bottom w:val="nil"/>
              <w:right w:val="nil"/>
            </w:tcBorders>
          </w:tcPr>
          <w:p w:rsidR="00F92652" w:rsidRDefault="007C4531" w:rsidP="00723934">
            <w:pPr>
              <w:cnfStyle w:val="000000000000"/>
            </w:pPr>
            <w:r>
              <w:t>98.5%</w:t>
            </w:r>
          </w:p>
        </w:tc>
      </w:tr>
      <w:tr w:rsidR="00F92652">
        <w:trPr>
          <w:cnfStyle w:val="000000100000"/>
        </w:trPr>
        <w:tc>
          <w:tcPr>
            <w:cnfStyle w:val="001000000000"/>
            <w:tcW w:w="2394" w:type="dxa"/>
            <w:tcBorders>
              <w:top w:val="nil"/>
              <w:bottom w:val="nil"/>
            </w:tcBorders>
          </w:tcPr>
          <w:p w:rsidR="00F92652" w:rsidRDefault="007C4531" w:rsidP="007F660B">
            <w:r>
              <w:t>Week 2</w:t>
            </w:r>
          </w:p>
        </w:tc>
        <w:tc>
          <w:tcPr>
            <w:tcW w:w="2394" w:type="dxa"/>
            <w:tcBorders>
              <w:top w:val="nil"/>
              <w:bottom w:val="nil"/>
            </w:tcBorders>
          </w:tcPr>
          <w:p w:rsidR="00F92652" w:rsidRDefault="007C4531" w:rsidP="00723934">
            <w:pPr>
              <w:cnfStyle w:val="000000100000"/>
            </w:pPr>
            <w:r>
              <w:t>95.9%</w:t>
            </w:r>
          </w:p>
        </w:tc>
        <w:tc>
          <w:tcPr>
            <w:tcW w:w="2394" w:type="dxa"/>
            <w:tcBorders>
              <w:top w:val="nil"/>
              <w:bottom w:val="nil"/>
            </w:tcBorders>
          </w:tcPr>
          <w:p w:rsidR="00F92652" w:rsidRDefault="007C4531" w:rsidP="00723934">
            <w:pPr>
              <w:cnfStyle w:val="000000100000"/>
            </w:pPr>
            <w:r>
              <w:t>88.3%</w:t>
            </w:r>
          </w:p>
        </w:tc>
      </w:tr>
      <w:tr w:rsidR="00F92652">
        <w:tc>
          <w:tcPr>
            <w:cnfStyle w:val="001000000000"/>
            <w:tcW w:w="2394" w:type="dxa"/>
            <w:tcBorders>
              <w:top w:val="nil"/>
              <w:left w:val="nil"/>
              <w:bottom w:val="nil"/>
              <w:right w:val="nil"/>
            </w:tcBorders>
          </w:tcPr>
          <w:p w:rsidR="00F92652" w:rsidRDefault="007C4531" w:rsidP="007F660B">
            <w:r>
              <w:t>Week 3</w:t>
            </w:r>
          </w:p>
        </w:tc>
        <w:tc>
          <w:tcPr>
            <w:tcW w:w="2394" w:type="dxa"/>
            <w:tcBorders>
              <w:top w:val="nil"/>
              <w:left w:val="nil"/>
              <w:bottom w:val="nil"/>
              <w:right w:val="nil"/>
            </w:tcBorders>
          </w:tcPr>
          <w:p w:rsidR="00F92652" w:rsidRDefault="007C4531" w:rsidP="00723934">
            <w:pPr>
              <w:cnfStyle w:val="000000000000"/>
            </w:pPr>
            <w:r>
              <w:t>90.1%</w:t>
            </w:r>
          </w:p>
        </w:tc>
        <w:tc>
          <w:tcPr>
            <w:tcW w:w="2394" w:type="dxa"/>
            <w:tcBorders>
              <w:top w:val="nil"/>
              <w:left w:val="nil"/>
              <w:bottom w:val="nil"/>
              <w:right w:val="nil"/>
            </w:tcBorders>
          </w:tcPr>
          <w:p w:rsidR="00F92652" w:rsidRDefault="007C4531" w:rsidP="00723934">
            <w:pPr>
              <w:cnfStyle w:val="000000000000"/>
            </w:pPr>
            <w:r>
              <w:t>92%</w:t>
            </w:r>
          </w:p>
        </w:tc>
      </w:tr>
      <w:tr w:rsidR="00F92652">
        <w:trPr>
          <w:cnfStyle w:val="000000100000"/>
        </w:trPr>
        <w:tc>
          <w:tcPr>
            <w:cnfStyle w:val="001000000000"/>
            <w:tcW w:w="2394" w:type="dxa"/>
            <w:tcBorders>
              <w:top w:val="nil"/>
              <w:bottom w:val="nil"/>
            </w:tcBorders>
          </w:tcPr>
          <w:p w:rsidR="00F92652" w:rsidRDefault="007C4531" w:rsidP="007F660B">
            <w:r>
              <w:t>Week 4</w:t>
            </w:r>
          </w:p>
        </w:tc>
        <w:tc>
          <w:tcPr>
            <w:tcW w:w="2394" w:type="dxa"/>
            <w:tcBorders>
              <w:top w:val="nil"/>
              <w:bottom w:val="nil"/>
            </w:tcBorders>
          </w:tcPr>
          <w:p w:rsidR="00F92652" w:rsidRDefault="007C4531" w:rsidP="00723934">
            <w:pPr>
              <w:cnfStyle w:val="000000100000"/>
            </w:pPr>
            <w:r>
              <w:t>93.5%</w:t>
            </w:r>
          </w:p>
        </w:tc>
        <w:tc>
          <w:tcPr>
            <w:tcW w:w="2394" w:type="dxa"/>
            <w:tcBorders>
              <w:top w:val="nil"/>
              <w:bottom w:val="nil"/>
            </w:tcBorders>
          </w:tcPr>
          <w:p w:rsidR="00F92652" w:rsidRDefault="007C4531" w:rsidP="00723934">
            <w:pPr>
              <w:cnfStyle w:val="000000100000"/>
            </w:pPr>
            <w:r>
              <w:t>97.7%</w:t>
            </w:r>
          </w:p>
        </w:tc>
      </w:tr>
      <w:tr w:rsidR="00F92652">
        <w:tc>
          <w:tcPr>
            <w:cnfStyle w:val="001000000000"/>
            <w:tcW w:w="2394" w:type="dxa"/>
            <w:tcBorders>
              <w:top w:val="nil"/>
              <w:left w:val="nil"/>
              <w:bottom w:val="nil"/>
              <w:right w:val="nil"/>
            </w:tcBorders>
          </w:tcPr>
          <w:p w:rsidR="00F92652" w:rsidRDefault="00F92652" w:rsidP="007F660B">
            <w:r>
              <w:t xml:space="preserve">Week </w:t>
            </w:r>
            <w:r w:rsidR="007C4531">
              <w:t>5</w:t>
            </w:r>
          </w:p>
        </w:tc>
        <w:tc>
          <w:tcPr>
            <w:tcW w:w="2394" w:type="dxa"/>
            <w:tcBorders>
              <w:top w:val="nil"/>
              <w:left w:val="nil"/>
              <w:bottom w:val="nil"/>
              <w:right w:val="nil"/>
            </w:tcBorders>
          </w:tcPr>
          <w:p w:rsidR="00F92652" w:rsidRDefault="007C4531" w:rsidP="00723934">
            <w:pPr>
              <w:cnfStyle w:val="000000000000"/>
            </w:pPr>
            <w:r>
              <w:t>96.6%</w:t>
            </w:r>
          </w:p>
        </w:tc>
        <w:tc>
          <w:tcPr>
            <w:tcW w:w="2394" w:type="dxa"/>
            <w:tcBorders>
              <w:top w:val="nil"/>
              <w:left w:val="nil"/>
              <w:bottom w:val="nil"/>
              <w:right w:val="nil"/>
            </w:tcBorders>
          </w:tcPr>
          <w:p w:rsidR="00F92652" w:rsidRDefault="007C4531" w:rsidP="00723934">
            <w:pPr>
              <w:cnfStyle w:val="000000000000"/>
            </w:pPr>
            <w:r>
              <w:t>96.5%</w:t>
            </w:r>
          </w:p>
        </w:tc>
      </w:tr>
      <w:tr w:rsidR="00F92652">
        <w:trPr>
          <w:cnfStyle w:val="000000100000"/>
        </w:trPr>
        <w:tc>
          <w:tcPr>
            <w:cnfStyle w:val="001000000000"/>
            <w:tcW w:w="2394" w:type="dxa"/>
            <w:tcBorders>
              <w:top w:val="nil"/>
              <w:bottom w:val="nil"/>
            </w:tcBorders>
          </w:tcPr>
          <w:p w:rsidR="00F92652" w:rsidRDefault="007C4531" w:rsidP="007F660B">
            <w:r>
              <w:t>Week 6</w:t>
            </w:r>
          </w:p>
        </w:tc>
        <w:tc>
          <w:tcPr>
            <w:tcW w:w="2394" w:type="dxa"/>
            <w:tcBorders>
              <w:top w:val="nil"/>
              <w:bottom w:val="nil"/>
            </w:tcBorders>
          </w:tcPr>
          <w:p w:rsidR="00F92652" w:rsidRDefault="007C4531" w:rsidP="00723934">
            <w:pPr>
              <w:cnfStyle w:val="000000100000"/>
            </w:pPr>
            <w:r>
              <w:t>92.0%</w:t>
            </w:r>
          </w:p>
        </w:tc>
        <w:tc>
          <w:tcPr>
            <w:tcW w:w="2394" w:type="dxa"/>
            <w:tcBorders>
              <w:top w:val="nil"/>
              <w:bottom w:val="nil"/>
            </w:tcBorders>
          </w:tcPr>
          <w:p w:rsidR="00F92652" w:rsidRDefault="007C4531" w:rsidP="00723934">
            <w:pPr>
              <w:cnfStyle w:val="000000100000"/>
            </w:pPr>
            <w:r>
              <w:t>94.5%</w:t>
            </w:r>
          </w:p>
        </w:tc>
      </w:tr>
      <w:tr w:rsidR="00F92652">
        <w:tc>
          <w:tcPr>
            <w:cnfStyle w:val="001000000000"/>
            <w:tcW w:w="2394" w:type="dxa"/>
            <w:tcBorders>
              <w:top w:val="nil"/>
              <w:bottom w:val="nil"/>
            </w:tcBorders>
          </w:tcPr>
          <w:p w:rsidR="00F92652" w:rsidRDefault="007C4531" w:rsidP="00723934">
            <w:r>
              <w:t>Week 7</w:t>
            </w:r>
            <w:r w:rsidR="00F92652">
              <w:t xml:space="preserve"> </w:t>
            </w:r>
          </w:p>
        </w:tc>
        <w:tc>
          <w:tcPr>
            <w:tcW w:w="2394" w:type="dxa"/>
            <w:tcBorders>
              <w:top w:val="nil"/>
              <w:bottom w:val="nil"/>
            </w:tcBorders>
          </w:tcPr>
          <w:p w:rsidR="00F92652" w:rsidRDefault="007C4531" w:rsidP="00723934">
            <w:pPr>
              <w:cnfStyle w:val="000000000000"/>
            </w:pPr>
            <w:r>
              <w:t>85.4%</w:t>
            </w:r>
          </w:p>
        </w:tc>
        <w:tc>
          <w:tcPr>
            <w:tcW w:w="2394" w:type="dxa"/>
            <w:tcBorders>
              <w:top w:val="nil"/>
              <w:bottom w:val="nil"/>
            </w:tcBorders>
          </w:tcPr>
          <w:p w:rsidR="00F92652" w:rsidRDefault="00775E90" w:rsidP="00723934">
            <w:pPr>
              <w:cnfStyle w:val="000000000000"/>
            </w:pPr>
            <w:r>
              <w:t>95.3%</w:t>
            </w:r>
          </w:p>
        </w:tc>
      </w:tr>
      <w:tr w:rsidR="00F92652">
        <w:trPr>
          <w:cnfStyle w:val="000000100000"/>
        </w:trPr>
        <w:tc>
          <w:tcPr>
            <w:cnfStyle w:val="001000000000"/>
            <w:tcW w:w="2394" w:type="dxa"/>
            <w:tcBorders>
              <w:top w:val="nil"/>
              <w:bottom w:val="single" w:sz="8" w:space="0" w:color="8064A2" w:themeColor="accent4"/>
            </w:tcBorders>
          </w:tcPr>
          <w:p w:rsidR="00F92652" w:rsidRDefault="00F92652" w:rsidP="00723934">
            <w:r>
              <w:t xml:space="preserve">Overall Average </w:t>
            </w:r>
          </w:p>
        </w:tc>
        <w:tc>
          <w:tcPr>
            <w:tcW w:w="2394" w:type="dxa"/>
            <w:tcBorders>
              <w:top w:val="nil"/>
              <w:bottom w:val="single" w:sz="8" w:space="0" w:color="8064A2" w:themeColor="accent4"/>
            </w:tcBorders>
          </w:tcPr>
          <w:p w:rsidR="00F92652" w:rsidRDefault="007C4531" w:rsidP="00723934">
            <w:pPr>
              <w:cnfStyle w:val="000000100000"/>
            </w:pPr>
            <w:r>
              <w:t>91.7%</w:t>
            </w:r>
          </w:p>
        </w:tc>
        <w:tc>
          <w:tcPr>
            <w:tcW w:w="2394" w:type="dxa"/>
            <w:tcBorders>
              <w:top w:val="nil"/>
              <w:bottom w:val="single" w:sz="8" w:space="0" w:color="8064A2" w:themeColor="accent4"/>
            </w:tcBorders>
          </w:tcPr>
          <w:p w:rsidR="00F92652" w:rsidRDefault="00F92652" w:rsidP="00723934">
            <w:pPr>
              <w:cnfStyle w:val="000000100000"/>
            </w:pPr>
          </w:p>
        </w:tc>
      </w:tr>
    </w:tbl>
    <w:p w:rsidR="00775E90" w:rsidRDefault="00775E90" w:rsidP="007F660B">
      <w:pPr>
        <w:spacing w:before="100" w:beforeAutospacing="1" w:after="0"/>
        <w:rPr>
          <w:rFonts w:ascii="Times New Roman" w:hAnsi="Times New Roman"/>
        </w:rPr>
      </w:pPr>
      <w:r>
        <w:rPr>
          <w:rFonts w:ascii="Times New Roman" w:hAnsi="Times New Roman"/>
        </w:rPr>
        <w:t>Table 2</w:t>
      </w:r>
    </w:p>
    <w:p w:rsidR="00775E90" w:rsidRDefault="00A70E7E" w:rsidP="007F660B">
      <w:pPr>
        <w:spacing w:before="100" w:beforeAutospacing="1" w:after="0"/>
        <w:rPr>
          <w:rFonts w:ascii="Times New Roman" w:hAnsi="Times New Roman"/>
        </w:rPr>
      </w:pPr>
      <w:r>
        <w:rPr>
          <w:rFonts w:ascii="Times New Roman" w:hAnsi="Times New Roman"/>
        </w:rPr>
        <w:t>Raw Scores</w:t>
      </w:r>
      <w:r w:rsidR="00775E90">
        <w:rPr>
          <w:rFonts w:ascii="Times New Roman" w:hAnsi="Times New Roman"/>
        </w:rPr>
        <w:t xml:space="preserve"> from the Ekwall/Shanker Phonics Test</w:t>
      </w:r>
    </w:p>
    <w:tbl>
      <w:tblPr>
        <w:tblStyle w:val="LightShading-Accent4"/>
        <w:tblW w:w="0" w:type="auto"/>
        <w:tblLook w:val="04A0"/>
      </w:tblPr>
      <w:tblGrid>
        <w:gridCol w:w="1998"/>
        <w:gridCol w:w="1993"/>
        <w:gridCol w:w="1995"/>
        <w:gridCol w:w="1795"/>
        <w:gridCol w:w="1795"/>
      </w:tblGrid>
      <w:tr w:rsidR="00775E90">
        <w:trPr>
          <w:cnfStyle w:val="100000000000"/>
        </w:trPr>
        <w:tc>
          <w:tcPr>
            <w:cnfStyle w:val="001000000000"/>
            <w:tcW w:w="1998" w:type="dxa"/>
            <w:vAlign w:val="center"/>
          </w:tcPr>
          <w:p w:rsidR="00775E90" w:rsidRDefault="00775E90" w:rsidP="00F65ADE">
            <w:pPr>
              <w:jc w:val="center"/>
            </w:pPr>
            <w:r>
              <w:t>Subtest</w:t>
            </w:r>
          </w:p>
        </w:tc>
        <w:tc>
          <w:tcPr>
            <w:tcW w:w="1993" w:type="dxa"/>
            <w:vAlign w:val="center"/>
          </w:tcPr>
          <w:p w:rsidR="00775E90" w:rsidRDefault="00775E90" w:rsidP="00F65ADE">
            <w:pPr>
              <w:jc w:val="center"/>
              <w:cnfStyle w:val="100000000000"/>
            </w:pPr>
            <w:r>
              <w:t>A. Pretest</w:t>
            </w:r>
          </w:p>
        </w:tc>
        <w:tc>
          <w:tcPr>
            <w:tcW w:w="1995" w:type="dxa"/>
            <w:vAlign w:val="center"/>
          </w:tcPr>
          <w:p w:rsidR="00775E90" w:rsidRDefault="00775E90" w:rsidP="00F65ADE">
            <w:pPr>
              <w:jc w:val="center"/>
              <w:cnfStyle w:val="100000000000"/>
            </w:pPr>
            <w:r>
              <w:t>A. Posttest</w:t>
            </w:r>
          </w:p>
        </w:tc>
        <w:tc>
          <w:tcPr>
            <w:tcW w:w="1795" w:type="dxa"/>
            <w:vAlign w:val="center"/>
          </w:tcPr>
          <w:p w:rsidR="00775E90" w:rsidRDefault="00775E90" w:rsidP="00F65ADE">
            <w:pPr>
              <w:jc w:val="center"/>
              <w:cnfStyle w:val="100000000000"/>
            </w:pPr>
            <w:r>
              <w:t>J. Pretest</w:t>
            </w:r>
          </w:p>
        </w:tc>
        <w:tc>
          <w:tcPr>
            <w:tcW w:w="1795" w:type="dxa"/>
            <w:vAlign w:val="center"/>
          </w:tcPr>
          <w:p w:rsidR="00775E90" w:rsidRDefault="00775E90" w:rsidP="00F65ADE">
            <w:pPr>
              <w:jc w:val="center"/>
              <w:cnfStyle w:val="100000000000"/>
            </w:pPr>
            <w:r>
              <w:t xml:space="preserve">J. </w:t>
            </w:r>
            <w:r w:rsidR="000A5ABB">
              <w:t>Posttest</w:t>
            </w:r>
          </w:p>
        </w:tc>
      </w:tr>
      <w:tr w:rsidR="00775E90">
        <w:trPr>
          <w:cnfStyle w:val="000000100000"/>
        </w:trPr>
        <w:tc>
          <w:tcPr>
            <w:cnfStyle w:val="001000000000"/>
            <w:tcW w:w="1998" w:type="dxa"/>
            <w:tcBorders>
              <w:top w:val="nil"/>
              <w:bottom w:val="nil"/>
            </w:tcBorders>
            <w:vAlign w:val="center"/>
          </w:tcPr>
          <w:p w:rsidR="00775E90" w:rsidRDefault="00775E90" w:rsidP="00F65ADE">
            <w:pPr>
              <w:jc w:val="center"/>
            </w:pPr>
            <w:r>
              <w:t>Application of Phonics Skills</w:t>
            </w:r>
          </w:p>
        </w:tc>
        <w:tc>
          <w:tcPr>
            <w:tcW w:w="1993" w:type="dxa"/>
            <w:tcBorders>
              <w:top w:val="nil"/>
              <w:bottom w:val="nil"/>
            </w:tcBorders>
            <w:vAlign w:val="center"/>
          </w:tcPr>
          <w:p w:rsidR="00775E90" w:rsidRDefault="00A70E7E" w:rsidP="00F65ADE">
            <w:pPr>
              <w:jc w:val="center"/>
              <w:cnfStyle w:val="000000100000"/>
            </w:pPr>
            <w:r>
              <w:t>28</w:t>
            </w:r>
          </w:p>
        </w:tc>
        <w:tc>
          <w:tcPr>
            <w:tcW w:w="1995" w:type="dxa"/>
            <w:tcBorders>
              <w:top w:val="nil"/>
              <w:bottom w:val="nil"/>
            </w:tcBorders>
            <w:vAlign w:val="center"/>
          </w:tcPr>
          <w:p w:rsidR="00775E90" w:rsidRDefault="00A70E7E" w:rsidP="00F65ADE">
            <w:pPr>
              <w:jc w:val="center"/>
              <w:cnfStyle w:val="000000100000"/>
            </w:pPr>
            <w:r>
              <w:t>29</w:t>
            </w:r>
          </w:p>
        </w:tc>
        <w:tc>
          <w:tcPr>
            <w:tcW w:w="1795" w:type="dxa"/>
            <w:tcBorders>
              <w:top w:val="nil"/>
              <w:bottom w:val="nil"/>
            </w:tcBorders>
            <w:vAlign w:val="center"/>
          </w:tcPr>
          <w:p w:rsidR="00775E90" w:rsidRDefault="00A70E7E" w:rsidP="00F65ADE">
            <w:pPr>
              <w:jc w:val="center"/>
              <w:cnfStyle w:val="000000100000"/>
            </w:pPr>
            <w:r>
              <w:t>19</w:t>
            </w:r>
          </w:p>
        </w:tc>
        <w:tc>
          <w:tcPr>
            <w:tcW w:w="1795" w:type="dxa"/>
            <w:tcBorders>
              <w:top w:val="nil"/>
              <w:bottom w:val="nil"/>
            </w:tcBorders>
            <w:vAlign w:val="center"/>
          </w:tcPr>
          <w:p w:rsidR="00775E90" w:rsidRDefault="00A70E7E" w:rsidP="00F65ADE">
            <w:pPr>
              <w:jc w:val="center"/>
              <w:cnfStyle w:val="000000100000"/>
            </w:pPr>
            <w:r>
              <w:t>31</w:t>
            </w:r>
          </w:p>
        </w:tc>
      </w:tr>
      <w:tr w:rsidR="00775E90">
        <w:tc>
          <w:tcPr>
            <w:cnfStyle w:val="001000000000"/>
            <w:tcW w:w="1998" w:type="dxa"/>
            <w:tcBorders>
              <w:top w:val="nil"/>
              <w:left w:val="nil"/>
              <w:bottom w:val="nil"/>
              <w:right w:val="nil"/>
            </w:tcBorders>
            <w:vAlign w:val="center"/>
          </w:tcPr>
          <w:p w:rsidR="00775E90" w:rsidRDefault="00775E90" w:rsidP="00F65ADE">
            <w:pPr>
              <w:jc w:val="center"/>
            </w:pPr>
            <w:r>
              <w:t>Initial Consonants</w:t>
            </w:r>
          </w:p>
        </w:tc>
        <w:tc>
          <w:tcPr>
            <w:tcW w:w="1993" w:type="dxa"/>
            <w:tcBorders>
              <w:top w:val="nil"/>
              <w:left w:val="nil"/>
              <w:bottom w:val="nil"/>
              <w:right w:val="nil"/>
            </w:tcBorders>
            <w:vAlign w:val="center"/>
          </w:tcPr>
          <w:p w:rsidR="00775E90" w:rsidRDefault="00775E90" w:rsidP="00F65ADE">
            <w:pPr>
              <w:jc w:val="center"/>
              <w:cnfStyle w:val="000000000000"/>
            </w:pPr>
            <w:r>
              <w:t>10*</w:t>
            </w:r>
          </w:p>
        </w:tc>
        <w:tc>
          <w:tcPr>
            <w:tcW w:w="1995" w:type="dxa"/>
            <w:tcBorders>
              <w:top w:val="nil"/>
              <w:left w:val="nil"/>
              <w:bottom w:val="nil"/>
              <w:right w:val="nil"/>
            </w:tcBorders>
            <w:vAlign w:val="center"/>
          </w:tcPr>
          <w:p w:rsidR="00775E90" w:rsidRDefault="00F65ADE" w:rsidP="00F65ADE">
            <w:pPr>
              <w:jc w:val="center"/>
              <w:cnfStyle w:val="000000000000"/>
            </w:pPr>
            <w:r>
              <w:t>--</w:t>
            </w:r>
          </w:p>
        </w:tc>
        <w:tc>
          <w:tcPr>
            <w:tcW w:w="1795" w:type="dxa"/>
            <w:tcBorders>
              <w:top w:val="nil"/>
              <w:left w:val="nil"/>
              <w:bottom w:val="nil"/>
              <w:right w:val="nil"/>
            </w:tcBorders>
            <w:vAlign w:val="center"/>
          </w:tcPr>
          <w:p w:rsidR="00775E90" w:rsidRDefault="00A70E7E" w:rsidP="00F65ADE">
            <w:pPr>
              <w:jc w:val="center"/>
              <w:cnfStyle w:val="000000000000"/>
            </w:pPr>
            <w:r>
              <w:t>10*</w:t>
            </w:r>
          </w:p>
        </w:tc>
        <w:tc>
          <w:tcPr>
            <w:tcW w:w="1795" w:type="dxa"/>
            <w:tcBorders>
              <w:top w:val="nil"/>
              <w:left w:val="nil"/>
              <w:bottom w:val="nil"/>
              <w:right w:val="nil"/>
            </w:tcBorders>
            <w:vAlign w:val="center"/>
          </w:tcPr>
          <w:p w:rsidR="00775E90" w:rsidRDefault="00F65ADE" w:rsidP="00F65ADE">
            <w:pPr>
              <w:jc w:val="center"/>
              <w:cnfStyle w:val="000000000000"/>
            </w:pPr>
            <w:r>
              <w:t>--</w:t>
            </w:r>
          </w:p>
        </w:tc>
      </w:tr>
      <w:tr w:rsidR="00775E90">
        <w:trPr>
          <w:cnfStyle w:val="000000100000"/>
        </w:trPr>
        <w:tc>
          <w:tcPr>
            <w:cnfStyle w:val="001000000000"/>
            <w:tcW w:w="1998" w:type="dxa"/>
            <w:tcBorders>
              <w:top w:val="nil"/>
              <w:bottom w:val="nil"/>
            </w:tcBorders>
            <w:vAlign w:val="center"/>
          </w:tcPr>
          <w:p w:rsidR="00775E90" w:rsidRDefault="00775E90" w:rsidP="00F65ADE">
            <w:pPr>
              <w:jc w:val="center"/>
            </w:pPr>
            <w:r>
              <w:t>Initial Blends an Digraphs</w:t>
            </w:r>
          </w:p>
        </w:tc>
        <w:tc>
          <w:tcPr>
            <w:tcW w:w="1993" w:type="dxa"/>
            <w:tcBorders>
              <w:top w:val="nil"/>
              <w:bottom w:val="nil"/>
            </w:tcBorders>
            <w:vAlign w:val="center"/>
          </w:tcPr>
          <w:p w:rsidR="00775E90" w:rsidRDefault="00775E90" w:rsidP="00F65ADE">
            <w:pPr>
              <w:jc w:val="center"/>
              <w:cnfStyle w:val="000000100000"/>
            </w:pPr>
            <w:r>
              <w:t>8</w:t>
            </w:r>
          </w:p>
        </w:tc>
        <w:tc>
          <w:tcPr>
            <w:tcW w:w="1995" w:type="dxa"/>
            <w:tcBorders>
              <w:top w:val="nil"/>
              <w:bottom w:val="nil"/>
            </w:tcBorders>
            <w:vAlign w:val="center"/>
          </w:tcPr>
          <w:p w:rsidR="00775E90" w:rsidRDefault="00775E90" w:rsidP="00F65ADE">
            <w:pPr>
              <w:jc w:val="center"/>
              <w:cnfStyle w:val="000000100000"/>
            </w:pPr>
            <w:r>
              <w:t>8</w:t>
            </w:r>
          </w:p>
        </w:tc>
        <w:tc>
          <w:tcPr>
            <w:tcW w:w="1795" w:type="dxa"/>
            <w:tcBorders>
              <w:top w:val="nil"/>
              <w:bottom w:val="nil"/>
            </w:tcBorders>
            <w:vAlign w:val="center"/>
          </w:tcPr>
          <w:p w:rsidR="00775E90" w:rsidRDefault="00A70E7E" w:rsidP="00F65ADE">
            <w:pPr>
              <w:jc w:val="center"/>
              <w:cnfStyle w:val="000000100000"/>
            </w:pPr>
            <w:r>
              <w:t>10*</w:t>
            </w:r>
          </w:p>
        </w:tc>
        <w:tc>
          <w:tcPr>
            <w:tcW w:w="1795" w:type="dxa"/>
            <w:tcBorders>
              <w:top w:val="nil"/>
              <w:bottom w:val="nil"/>
            </w:tcBorders>
            <w:vAlign w:val="center"/>
          </w:tcPr>
          <w:p w:rsidR="00775E90" w:rsidRDefault="00F65ADE" w:rsidP="00F65ADE">
            <w:pPr>
              <w:jc w:val="center"/>
              <w:cnfStyle w:val="000000100000"/>
            </w:pPr>
            <w:r>
              <w:t>--</w:t>
            </w:r>
          </w:p>
        </w:tc>
      </w:tr>
      <w:tr w:rsidR="00775E90">
        <w:tc>
          <w:tcPr>
            <w:cnfStyle w:val="001000000000"/>
            <w:tcW w:w="1998" w:type="dxa"/>
            <w:tcBorders>
              <w:top w:val="nil"/>
              <w:left w:val="nil"/>
              <w:bottom w:val="nil"/>
              <w:right w:val="nil"/>
            </w:tcBorders>
            <w:vAlign w:val="center"/>
          </w:tcPr>
          <w:p w:rsidR="00775E90" w:rsidRDefault="00775E90" w:rsidP="00F65ADE">
            <w:pPr>
              <w:jc w:val="center"/>
            </w:pPr>
            <w:r>
              <w:t>Ending Sounds</w:t>
            </w:r>
          </w:p>
        </w:tc>
        <w:tc>
          <w:tcPr>
            <w:tcW w:w="1993" w:type="dxa"/>
            <w:tcBorders>
              <w:top w:val="nil"/>
              <w:left w:val="nil"/>
              <w:bottom w:val="nil"/>
              <w:right w:val="nil"/>
            </w:tcBorders>
            <w:vAlign w:val="center"/>
          </w:tcPr>
          <w:p w:rsidR="00775E90" w:rsidRDefault="00775E90" w:rsidP="00F65ADE">
            <w:pPr>
              <w:jc w:val="center"/>
              <w:cnfStyle w:val="000000000000"/>
            </w:pPr>
            <w:r>
              <w:t>7</w:t>
            </w:r>
          </w:p>
        </w:tc>
        <w:tc>
          <w:tcPr>
            <w:tcW w:w="1995" w:type="dxa"/>
            <w:tcBorders>
              <w:top w:val="nil"/>
              <w:left w:val="nil"/>
              <w:bottom w:val="nil"/>
              <w:right w:val="nil"/>
            </w:tcBorders>
            <w:vAlign w:val="center"/>
          </w:tcPr>
          <w:p w:rsidR="00775E90" w:rsidRDefault="00775E90" w:rsidP="00F65ADE">
            <w:pPr>
              <w:jc w:val="center"/>
              <w:cnfStyle w:val="000000000000"/>
            </w:pPr>
            <w:r>
              <w:t>8</w:t>
            </w:r>
            <w:r w:rsidR="00A70E7E">
              <w:t>*</w:t>
            </w:r>
          </w:p>
        </w:tc>
        <w:tc>
          <w:tcPr>
            <w:tcW w:w="1795" w:type="dxa"/>
            <w:tcBorders>
              <w:top w:val="nil"/>
              <w:left w:val="nil"/>
              <w:bottom w:val="nil"/>
              <w:right w:val="nil"/>
            </w:tcBorders>
            <w:vAlign w:val="center"/>
          </w:tcPr>
          <w:p w:rsidR="00775E90" w:rsidRDefault="00A70E7E" w:rsidP="00F65ADE">
            <w:pPr>
              <w:jc w:val="center"/>
              <w:cnfStyle w:val="000000000000"/>
            </w:pPr>
            <w:r>
              <w:t>10*</w:t>
            </w:r>
          </w:p>
        </w:tc>
        <w:tc>
          <w:tcPr>
            <w:tcW w:w="1795" w:type="dxa"/>
            <w:tcBorders>
              <w:top w:val="nil"/>
              <w:left w:val="nil"/>
              <w:bottom w:val="nil"/>
              <w:right w:val="nil"/>
            </w:tcBorders>
            <w:vAlign w:val="center"/>
          </w:tcPr>
          <w:p w:rsidR="00775E90" w:rsidRDefault="00F65ADE" w:rsidP="00F65ADE">
            <w:pPr>
              <w:jc w:val="center"/>
              <w:cnfStyle w:val="000000000000"/>
            </w:pPr>
            <w:r>
              <w:t>--</w:t>
            </w:r>
          </w:p>
        </w:tc>
      </w:tr>
      <w:tr w:rsidR="00775E90">
        <w:trPr>
          <w:cnfStyle w:val="000000100000"/>
        </w:trPr>
        <w:tc>
          <w:tcPr>
            <w:cnfStyle w:val="001000000000"/>
            <w:tcW w:w="1998" w:type="dxa"/>
            <w:tcBorders>
              <w:top w:val="nil"/>
              <w:bottom w:val="nil"/>
            </w:tcBorders>
            <w:vAlign w:val="center"/>
          </w:tcPr>
          <w:p w:rsidR="00775E90" w:rsidRDefault="00775E90" w:rsidP="00F65ADE">
            <w:pPr>
              <w:jc w:val="center"/>
            </w:pPr>
            <w:r>
              <w:t>Vowels</w:t>
            </w:r>
          </w:p>
        </w:tc>
        <w:tc>
          <w:tcPr>
            <w:tcW w:w="1993" w:type="dxa"/>
            <w:tcBorders>
              <w:top w:val="nil"/>
              <w:bottom w:val="nil"/>
            </w:tcBorders>
            <w:vAlign w:val="center"/>
          </w:tcPr>
          <w:p w:rsidR="00775E90" w:rsidRDefault="00775E90" w:rsidP="00F65ADE">
            <w:pPr>
              <w:jc w:val="center"/>
              <w:cnfStyle w:val="000000100000"/>
            </w:pPr>
            <w:r>
              <w:t>8</w:t>
            </w:r>
          </w:p>
        </w:tc>
        <w:tc>
          <w:tcPr>
            <w:tcW w:w="1995" w:type="dxa"/>
            <w:tcBorders>
              <w:top w:val="nil"/>
              <w:bottom w:val="nil"/>
            </w:tcBorders>
            <w:vAlign w:val="center"/>
          </w:tcPr>
          <w:p w:rsidR="00775E90" w:rsidRDefault="00775E90" w:rsidP="00F65ADE">
            <w:pPr>
              <w:jc w:val="center"/>
              <w:cnfStyle w:val="000000100000"/>
            </w:pPr>
            <w:r>
              <w:t>10*</w:t>
            </w:r>
          </w:p>
        </w:tc>
        <w:tc>
          <w:tcPr>
            <w:tcW w:w="1795" w:type="dxa"/>
            <w:tcBorders>
              <w:top w:val="nil"/>
              <w:bottom w:val="nil"/>
            </w:tcBorders>
            <w:vAlign w:val="center"/>
          </w:tcPr>
          <w:p w:rsidR="00775E90" w:rsidRDefault="00A70E7E" w:rsidP="00F65ADE">
            <w:pPr>
              <w:jc w:val="center"/>
              <w:cnfStyle w:val="000000100000"/>
            </w:pPr>
            <w:r>
              <w:t>9*</w:t>
            </w:r>
          </w:p>
        </w:tc>
        <w:tc>
          <w:tcPr>
            <w:tcW w:w="1795" w:type="dxa"/>
            <w:tcBorders>
              <w:top w:val="nil"/>
              <w:bottom w:val="nil"/>
            </w:tcBorders>
            <w:vAlign w:val="center"/>
          </w:tcPr>
          <w:p w:rsidR="00775E90" w:rsidRDefault="00F65ADE" w:rsidP="00F65ADE">
            <w:pPr>
              <w:jc w:val="center"/>
              <w:cnfStyle w:val="000000100000"/>
            </w:pPr>
            <w:r>
              <w:t>--</w:t>
            </w:r>
          </w:p>
        </w:tc>
      </w:tr>
      <w:tr w:rsidR="00775E90">
        <w:tc>
          <w:tcPr>
            <w:cnfStyle w:val="001000000000"/>
            <w:tcW w:w="1998" w:type="dxa"/>
            <w:tcBorders>
              <w:top w:val="nil"/>
              <w:left w:val="nil"/>
              <w:bottom w:val="nil"/>
              <w:right w:val="nil"/>
            </w:tcBorders>
            <w:vAlign w:val="center"/>
          </w:tcPr>
          <w:p w:rsidR="00775E90" w:rsidRDefault="00775E90" w:rsidP="00F65ADE">
            <w:pPr>
              <w:jc w:val="center"/>
            </w:pPr>
            <w:r>
              <w:t>Phonograms</w:t>
            </w:r>
          </w:p>
        </w:tc>
        <w:tc>
          <w:tcPr>
            <w:tcW w:w="1993" w:type="dxa"/>
            <w:tcBorders>
              <w:top w:val="nil"/>
              <w:left w:val="nil"/>
              <w:bottom w:val="nil"/>
              <w:right w:val="nil"/>
            </w:tcBorders>
            <w:vAlign w:val="center"/>
          </w:tcPr>
          <w:p w:rsidR="00775E90" w:rsidRDefault="00A70E7E" w:rsidP="00F65ADE">
            <w:pPr>
              <w:jc w:val="center"/>
              <w:cnfStyle w:val="000000000000"/>
            </w:pPr>
            <w:r>
              <w:t>6</w:t>
            </w:r>
          </w:p>
        </w:tc>
        <w:tc>
          <w:tcPr>
            <w:tcW w:w="1995" w:type="dxa"/>
            <w:tcBorders>
              <w:top w:val="nil"/>
              <w:left w:val="nil"/>
              <w:bottom w:val="nil"/>
              <w:right w:val="nil"/>
            </w:tcBorders>
            <w:vAlign w:val="center"/>
          </w:tcPr>
          <w:p w:rsidR="00775E90" w:rsidRDefault="00A70E7E" w:rsidP="00F65ADE">
            <w:pPr>
              <w:jc w:val="center"/>
              <w:cnfStyle w:val="000000000000"/>
            </w:pPr>
            <w:r>
              <w:t>8</w:t>
            </w:r>
          </w:p>
        </w:tc>
        <w:tc>
          <w:tcPr>
            <w:tcW w:w="1795" w:type="dxa"/>
            <w:tcBorders>
              <w:top w:val="nil"/>
              <w:left w:val="nil"/>
              <w:bottom w:val="nil"/>
              <w:right w:val="nil"/>
            </w:tcBorders>
            <w:vAlign w:val="center"/>
          </w:tcPr>
          <w:p w:rsidR="00775E90" w:rsidRDefault="00A70E7E" w:rsidP="00F65ADE">
            <w:pPr>
              <w:jc w:val="center"/>
              <w:cnfStyle w:val="000000000000"/>
            </w:pPr>
            <w:r>
              <w:t>7</w:t>
            </w:r>
          </w:p>
        </w:tc>
        <w:tc>
          <w:tcPr>
            <w:tcW w:w="1795" w:type="dxa"/>
            <w:tcBorders>
              <w:top w:val="nil"/>
              <w:left w:val="nil"/>
              <w:bottom w:val="nil"/>
              <w:right w:val="nil"/>
            </w:tcBorders>
            <w:vAlign w:val="center"/>
          </w:tcPr>
          <w:p w:rsidR="00775E90" w:rsidRDefault="00A70E7E" w:rsidP="00F65ADE">
            <w:pPr>
              <w:jc w:val="center"/>
              <w:cnfStyle w:val="000000000000"/>
            </w:pPr>
            <w:r>
              <w:t>8</w:t>
            </w:r>
          </w:p>
        </w:tc>
      </w:tr>
      <w:tr w:rsidR="00775E90">
        <w:trPr>
          <w:cnfStyle w:val="000000100000"/>
        </w:trPr>
        <w:tc>
          <w:tcPr>
            <w:cnfStyle w:val="001000000000"/>
            <w:tcW w:w="1998" w:type="dxa"/>
            <w:tcBorders>
              <w:top w:val="nil"/>
              <w:bottom w:val="nil"/>
            </w:tcBorders>
            <w:vAlign w:val="center"/>
          </w:tcPr>
          <w:p w:rsidR="00775E90" w:rsidRDefault="00775E90" w:rsidP="00F65ADE">
            <w:pPr>
              <w:jc w:val="center"/>
            </w:pPr>
            <w:r>
              <w:t>Blending</w:t>
            </w:r>
          </w:p>
        </w:tc>
        <w:tc>
          <w:tcPr>
            <w:tcW w:w="1993" w:type="dxa"/>
            <w:tcBorders>
              <w:top w:val="nil"/>
              <w:bottom w:val="nil"/>
            </w:tcBorders>
            <w:vAlign w:val="center"/>
          </w:tcPr>
          <w:p w:rsidR="00775E90" w:rsidRDefault="00A70E7E" w:rsidP="00F65ADE">
            <w:pPr>
              <w:jc w:val="center"/>
              <w:cnfStyle w:val="000000100000"/>
            </w:pPr>
            <w:r>
              <w:t>5</w:t>
            </w:r>
          </w:p>
        </w:tc>
        <w:tc>
          <w:tcPr>
            <w:tcW w:w="1995" w:type="dxa"/>
            <w:tcBorders>
              <w:top w:val="nil"/>
              <w:bottom w:val="nil"/>
            </w:tcBorders>
            <w:vAlign w:val="center"/>
          </w:tcPr>
          <w:p w:rsidR="00775E90" w:rsidRDefault="00A70E7E" w:rsidP="00F65ADE">
            <w:pPr>
              <w:jc w:val="center"/>
              <w:cnfStyle w:val="000000100000"/>
            </w:pPr>
            <w:r>
              <w:t>6</w:t>
            </w:r>
          </w:p>
        </w:tc>
        <w:tc>
          <w:tcPr>
            <w:tcW w:w="1795" w:type="dxa"/>
            <w:tcBorders>
              <w:top w:val="nil"/>
              <w:bottom w:val="nil"/>
            </w:tcBorders>
            <w:vAlign w:val="center"/>
          </w:tcPr>
          <w:p w:rsidR="00775E90" w:rsidRDefault="00A70E7E" w:rsidP="00F65ADE">
            <w:pPr>
              <w:jc w:val="center"/>
              <w:cnfStyle w:val="000000100000"/>
            </w:pPr>
            <w:r>
              <w:t>7</w:t>
            </w:r>
          </w:p>
        </w:tc>
        <w:tc>
          <w:tcPr>
            <w:tcW w:w="1795" w:type="dxa"/>
            <w:tcBorders>
              <w:top w:val="nil"/>
              <w:bottom w:val="nil"/>
            </w:tcBorders>
            <w:vAlign w:val="center"/>
          </w:tcPr>
          <w:p w:rsidR="00775E90" w:rsidRDefault="00A70E7E" w:rsidP="00F65ADE">
            <w:pPr>
              <w:jc w:val="center"/>
              <w:cnfStyle w:val="000000100000"/>
            </w:pPr>
            <w:r>
              <w:t>8</w:t>
            </w:r>
          </w:p>
        </w:tc>
      </w:tr>
      <w:tr w:rsidR="00775E90">
        <w:tc>
          <w:tcPr>
            <w:cnfStyle w:val="001000000000"/>
            <w:tcW w:w="1998" w:type="dxa"/>
            <w:tcBorders>
              <w:top w:val="nil"/>
              <w:bottom w:val="nil"/>
            </w:tcBorders>
            <w:vAlign w:val="center"/>
          </w:tcPr>
          <w:p w:rsidR="00775E90" w:rsidRDefault="00775E90" w:rsidP="00F65ADE">
            <w:pPr>
              <w:jc w:val="center"/>
            </w:pPr>
            <w:r>
              <w:t>Substitution</w:t>
            </w:r>
          </w:p>
        </w:tc>
        <w:tc>
          <w:tcPr>
            <w:tcW w:w="1993" w:type="dxa"/>
            <w:tcBorders>
              <w:top w:val="nil"/>
              <w:bottom w:val="nil"/>
            </w:tcBorders>
            <w:vAlign w:val="center"/>
          </w:tcPr>
          <w:p w:rsidR="00775E90" w:rsidRDefault="00A70E7E" w:rsidP="00F65ADE">
            <w:pPr>
              <w:jc w:val="center"/>
              <w:cnfStyle w:val="000000000000"/>
            </w:pPr>
            <w:r>
              <w:t>14</w:t>
            </w:r>
          </w:p>
        </w:tc>
        <w:tc>
          <w:tcPr>
            <w:tcW w:w="1995" w:type="dxa"/>
            <w:tcBorders>
              <w:top w:val="nil"/>
              <w:bottom w:val="nil"/>
            </w:tcBorders>
            <w:vAlign w:val="center"/>
          </w:tcPr>
          <w:p w:rsidR="00775E90" w:rsidRDefault="00A70E7E" w:rsidP="00F65ADE">
            <w:pPr>
              <w:jc w:val="center"/>
              <w:cnfStyle w:val="000000000000"/>
            </w:pPr>
            <w:r>
              <w:t>12</w:t>
            </w:r>
          </w:p>
        </w:tc>
        <w:tc>
          <w:tcPr>
            <w:tcW w:w="1795" w:type="dxa"/>
            <w:tcBorders>
              <w:top w:val="nil"/>
              <w:bottom w:val="nil"/>
            </w:tcBorders>
            <w:vAlign w:val="center"/>
          </w:tcPr>
          <w:p w:rsidR="00775E90" w:rsidRDefault="00A70E7E" w:rsidP="00F65ADE">
            <w:pPr>
              <w:jc w:val="center"/>
              <w:cnfStyle w:val="000000000000"/>
            </w:pPr>
            <w:r>
              <w:t>15</w:t>
            </w:r>
          </w:p>
        </w:tc>
        <w:tc>
          <w:tcPr>
            <w:tcW w:w="1795" w:type="dxa"/>
            <w:tcBorders>
              <w:top w:val="nil"/>
              <w:bottom w:val="nil"/>
            </w:tcBorders>
            <w:vAlign w:val="center"/>
          </w:tcPr>
          <w:p w:rsidR="00775E90" w:rsidRDefault="00A70E7E" w:rsidP="00F65ADE">
            <w:pPr>
              <w:jc w:val="center"/>
              <w:cnfStyle w:val="000000000000"/>
            </w:pPr>
            <w:r>
              <w:t>23*</w:t>
            </w:r>
          </w:p>
        </w:tc>
      </w:tr>
      <w:tr w:rsidR="00775E90">
        <w:trPr>
          <w:cnfStyle w:val="000000100000"/>
        </w:trPr>
        <w:tc>
          <w:tcPr>
            <w:cnfStyle w:val="001000000000"/>
            <w:tcW w:w="1998" w:type="dxa"/>
            <w:tcBorders>
              <w:top w:val="nil"/>
              <w:bottom w:val="single" w:sz="8" w:space="0" w:color="8064A2" w:themeColor="accent4"/>
            </w:tcBorders>
            <w:vAlign w:val="center"/>
          </w:tcPr>
          <w:p w:rsidR="00775E90" w:rsidRDefault="00775E90" w:rsidP="00F65ADE">
            <w:pPr>
              <w:jc w:val="center"/>
            </w:pPr>
            <w:r>
              <w:t>Vowel Pronunciation</w:t>
            </w:r>
          </w:p>
        </w:tc>
        <w:tc>
          <w:tcPr>
            <w:tcW w:w="1993" w:type="dxa"/>
            <w:tcBorders>
              <w:top w:val="nil"/>
              <w:bottom w:val="single" w:sz="8" w:space="0" w:color="8064A2" w:themeColor="accent4"/>
            </w:tcBorders>
            <w:vAlign w:val="center"/>
          </w:tcPr>
          <w:p w:rsidR="00775E90" w:rsidRDefault="00A70E7E" w:rsidP="00F65ADE">
            <w:pPr>
              <w:jc w:val="center"/>
              <w:cnfStyle w:val="000000100000"/>
            </w:pPr>
            <w:r>
              <w:t>4</w:t>
            </w:r>
          </w:p>
        </w:tc>
        <w:tc>
          <w:tcPr>
            <w:tcW w:w="1995" w:type="dxa"/>
            <w:tcBorders>
              <w:top w:val="nil"/>
              <w:bottom w:val="single" w:sz="8" w:space="0" w:color="8064A2" w:themeColor="accent4"/>
            </w:tcBorders>
            <w:vAlign w:val="center"/>
          </w:tcPr>
          <w:p w:rsidR="00775E90" w:rsidRDefault="00A70E7E" w:rsidP="00F65ADE">
            <w:pPr>
              <w:jc w:val="center"/>
              <w:cnfStyle w:val="000000100000"/>
            </w:pPr>
            <w:r>
              <w:t>6</w:t>
            </w:r>
          </w:p>
        </w:tc>
        <w:tc>
          <w:tcPr>
            <w:tcW w:w="1795" w:type="dxa"/>
            <w:tcBorders>
              <w:top w:val="nil"/>
              <w:bottom w:val="single" w:sz="8" w:space="0" w:color="8064A2" w:themeColor="accent4"/>
            </w:tcBorders>
            <w:vAlign w:val="center"/>
          </w:tcPr>
          <w:p w:rsidR="00775E90" w:rsidRDefault="00A70E7E" w:rsidP="00F65ADE">
            <w:pPr>
              <w:jc w:val="center"/>
              <w:cnfStyle w:val="000000100000"/>
            </w:pPr>
            <w:r>
              <w:t>5</w:t>
            </w:r>
          </w:p>
        </w:tc>
        <w:tc>
          <w:tcPr>
            <w:tcW w:w="1795" w:type="dxa"/>
            <w:tcBorders>
              <w:top w:val="nil"/>
              <w:bottom w:val="single" w:sz="8" w:space="0" w:color="8064A2" w:themeColor="accent4"/>
            </w:tcBorders>
            <w:vAlign w:val="center"/>
          </w:tcPr>
          <w:p w:rsidR="00775E90" w:rsidRDefault="00A70E7E" w:rsidP="00F65ADE">
            <w:pPr>
              <w:jc w:val="center"/>
              <w:cnfStyle w:val="000000100000"/>
            </w:pPr>
            <w:r>
              <w:t>8</w:t>
            </w:r>
          </w:p>
        </w:tc>
      </w:tr>
    </w:tbl>
    <w:p w:rsidR="00226261" w:rsidRPr="00A70E7E" w:rsidRDefault="00A70E7E" w:rsidP="00723934">
      <w:pPr>
        <w:spacing w:before="100" w:beforeAutospacing="1" w:after="0" w:line="480" w:lineRule="auto"/>
        <w:rPr>
          <w:rFonts w:ascii="Times New Roman" w:hAnsi="Times New Roman"/>
        </w:rPr>
      </w:pPr>
      <w:r w:rsidRPr="00A70E7E">
        <w:rPr>
          <w:rFonts w:ascii="Times New Roman" w:hAnsi="Times New Roman"/>
          <w:i/>
        </w:rPr>
        <w:t>Note.</w:t>
      </w:r>
      <w:r w:rsidRPr="00A70E7E">
        <w:rPr>
          <w:rFonts w:ascii="Times New Roman" w:hAnsi="Times New Roman"/>
        </w:rPr>
        <w:t xml:space="preserve"> * indicates mastery achieved in the subtest</w:t>
      </w:r>
    </w:p>
    <w:p w:rsidR="00244555" w:rsidRDefault="00226261" w:rsidP="00723934">
      <w:pPr>
        <w:spacing w:before="100" w:beforeAutospacing="1" w:after="0" w:line="480" w:lineRule="auto"/>
        <w:ind w:firstLine="720"/>
        <w:rPr>
          <w:rFonts w:ascii="Times New Roman" w:hAnsi="Times New Roman"/>
        </w:rPr>
      </w:pPr>
      <w:r>
        <w:rPr>
          <w:rFonts w:ascii="Times New Roman" w:hAnsi="Times New Roman"/>
        </w:rPr>
        <w:t>The repeated reading activities that I used with the students helped them to read a higher percentage of the words correct</w:t>
      </w:r>
      <w:r w:rsidR="00183C8D">
        <w:rPr>
          <w:rFonts w:ascii="Times New Roman" w:hAnsi="Times New Roman"/>
        </w:rPr>
        <w:t xml:space="preserve"> on the poems</w:t>
      </w:r>
      <w:r>
        <w:rPr>
          <w:rFonts w:ascii="Times New Roman" w:hAnsi="Times New Roman"/>
        </w:rPr>
        <w:t xml:space="preserve">.  </w:t>
      </w:r>
      <w:r w:rsidR="007D4B11">
        <w:rPr>
          <w:rFonts w:ascii="Times New Roman" w:hAnsi="Times New Roman"/>
        </w:rPr>
        <w:t>Table 3 s</w:t>
      </w:r>
      <w:r w:rsidR="00A70E7E">
        <w:rPr>
          <w:rFonts w:ascii="Times New Roman" w:hAnsi="Times New Roman"/>
        </w:rPr>
        <w:t xml:space="preserve">hows the miscue count for the initial and final </w:t>
      </w:r>
      <w:r w:rsidR="00A56237">
        <w:rPr>
          <w:rFonts w:ascii="Times New Roman" w:hAnsi="Times New Roman"/>
        </w:rPr>
        <w:t xml:space="preserve">readings of each of the poems used during our sessions. </w:t>
      </w:r>
      <w:r w:rsidR="00183C8D">
        <w:rPr>
          <w:rFonts w:ascii="Times New Roman" w:hAnsi="Times New Roman"/>
        </w:rPr>
        <w:t xml:space="preserve"> On weeks</w:t>
      </w:r>
      <w:r w:rsidR="00244555">
        <w:rPr>
          <w:rFonts w:ascii="Times New Roman" w:hAnsi="Times New Roman"/>
        </w:rPr>
        <w:t xml:space="preserve"> one,</w:t>
      </w:r>
      <w:r w:rsidR="00183C8D">
        <w:rPr>
          <w:rFonts w:ascii="Times New Roman" w:hAnsi="Times New Roman"/>
        </w:rPr>
        <w:t xml:space="preserve"> five and seven, final miscue counts were not collected.  Classroom events on those days ran over the expected ti</w:t>
      </w:r>
      <w:r w:rsidR="0074742B">
        <w:rPr>
          <w:rFonts w:ascii="Times New Roman" w:hAnsi="Times New Roman"/>
        </w:rPr>
        <w:t xml:space="preserve">me and as a result, I </w:t>
      </w:r>
      <w:r w:rsidR="00183C8D">
        <w:rPr>
          <w:rFonts w:ascii="Times New Roman" w:hAnsi="Times New Roman"/>
        </w:rPr>
        <w:t xml:space="preserve">was not able to collect the data. </w:t>
      </w:r>
      <w:r w:rsidR="007D4B11">
        <w:rPr>
          <w:rFonts w:ascii="Times New Roman" w:hAnsi="Times New Roman"/>
        </w:rPr>
        <w:t xml:space="preserve"> The data from this study, </w:t>
      </w:r>
      <w:r w:rsidR="00244555">
        <w:rPr>
          <w:rFonts w:ascii="Times New Roman" w:hAnsi="Times New Roman"/>
        </w:rPr>
        <w:t>Table 3</w:t>
      </w:r>
      <w:r w:rsidR="00DF33C6">
        <w:rPr>
          <w:rFonts w:ascii="Times New Roman" w:hAnsi="Times New Roman"/>
        </w:rPr>
        <w:t>, recreated the results from Herman’s (1985</w:t>
      </w:r>
      <w:r w:rsidR="00244555">
        <w:rPr>
          <w:rFonts w:ascii="Times New Roman" w:hAnsi="Times New Roman"/>
        </w:rPr>
        <w:t xml:space="preserve">) study. Both studies showed that students became more accurate on each passage as they practiced throughout the week.  Additionally initial miscues from each </w:t>
      </w:r>
      <w:r w:rsidR="00DF33C6">
        <w:rPr>
          <w:rFonts w:ascii="Times New Roman" w:hAnsi="Times New Roman"/>
        </w:rPr>
        <w:t xml:space="preserve">new </w:t>
      </w:r>
      <w:r w:rsidR="00244555">
        <w:rPr>
          <w:rFonts w:ascii="Times New Roman" w:hAnsi="Times New Roman"/>
        </w:rPr>
        <w:t xml:space="preserve">passage decreased over the course of the study. </w:t>
      </w:r>
    </w:p>
    <w:p w:rsidR="00244555" w:rsidRDefault="00244555" w:rsidP="00723934">
      <w:pPr>
        <w:spacing w:before="100" w:beforeAutospacing="1" w:after="0"/>
        <w:rPr>
          <w:rFonts w:ascii="Times New Roman" w:hAnsi="Times New Roman"/>
        </w:rPr>
      </w:pPr>
      <w:r>
        <w:rPr>
          <w:rFonts w:ascii="Times New Roman" w:hAnsi="Times New Roman"/>
        </w:rPr>
        <w:t>Table 3</w:t>
      </w:r>
    </w:p>
    <w:p w:rsidR="00244555" w:rsidRDefault="00244555" w:rsidP="00723934">
      <w:pPr>
        <w:spacing w:before="100" w:beforeAutospacing="1" w:after="0"/>
        <w:rPr>
          <w:rFonts w:ascii="Times New Roman" w:hAnsi="Times New Roman"/>
        </w:rPr>
      </w:pPr>
      <w:r>
        <w:rPr>
          <w:rFonts w:ascii="Times New Roman" w:hAnsi="Times New Roman"/>
        </w:rPr>
        <w:t xml:space="preserve">Miscue Count For Initial and Final Poetry Readings </w:t>
      </w:r>
    </w:p>
    <w:tbl>
      <w:tblPr>
        <w:tblStyle w:val="LightShading-Accent4"/>
        <w:tblW w:w="0" w:type="auto"/>
        <w:tblLook w:val="04A0"/>
      </w:tblPr>
      <w:tblGrid>
        <w:gridCol w:w="1915"/>
        <w:gridCol w:w="1915"/>
        <w:gridCol w:w="1915"/>
        <w:gridCol w:w="1915"/>
        <w:gridCol w:w="1916"/>
      </w:tblGrid>
      <w:tr w:rsidR="00244555">
        <w:trPr>
          <w:cnfStyle w:val="100000000000"/>
        </w:trPr>
        <w:tc>
          <w:tcPr>
            <w:cnfStyle w:val="001000000000"/>
            <w:tcW w:w="1915" w:type="dxa"/>
          </w:tcPr>
          <w:p w:rsidR="00244555" w:rsidRDefault="00244555" w:rsidP="00723934">
            <w:r>
              <w:t>Week</w:t>
            </w:r>
          </w:p>
        </w:tc>
        <w:tc>
          <w:tcPr>
            <w:tcW w:w="1915" w:type="dxa"/>
          </w:tcPr>
          <w:p w:rsidR="00244555" w:rsidRDefault="00244555" w:rsidP="00723934">
            <w:pPr>
              <w:cnfStyle w:val="100000000000"/>
            </w:pPr>
            <w:r>
              <w:t xml:space="preserve">A. </w:t>
            </w:r>
          </w:p>
          <w:p w:rsidR="00244555" w:rsidRDefault="00244555" w:rsidP="00723934">
            <w:pPr>
              <w:cnfStyle w:val="100000000000"/>
            </w:pPr>
            <w:r>
              <w:t>Initial Reading</w:t>
            </w:r>
          </w:p>
        </w:tc>
        <w:tc>
          <w:tcPr>
            <w:tcW w:w="1915" w:type="dxa"/>
          </w:tcPr>
          <w:p w:rsidR="00244555" w:rsidRDefault="00244555" w:rsidP="00723934">
            <w:pPr>
              <w:cnfStyle w:val="100000000000"/>
            </w:pPr>
            <w:r>
              <w:t xml:space="preserve">A. </w:t>
            </w:r>
          </w:p>
          <w:p w:rsidR="00244555" w:rsidRDefault="00244555" w:rsidP="00723934">
            <w:pPr>
              <w:cnfStyle w:val="100000000000"/>
            </w:pPr>
            <w:r>
              <w:t xml:space="preserve">Final Reading </w:t>
            </w:r>
          </w:p>
        </w:tc>
        <w:tc>
          <w:tcPr>
            <w:tcW w:w="1915" w:type="dxa"/>
          </w:tcPr>
          <w:p w:rsidR="00244555" w:rsidRDefault="00244555" w:rsidP="00723934">
            <w:pPr>
              <w:cnfStyle w:val="100000000000"/>
            </w:pPr>
            <w:r>
              <w:t xml:space="preserve">J. </w:t>
            </w:r>
          </w:p>
          <w:p w:rsidR="00244555" w:rsidRDefault="00244555" w:rsidP="00723934">
            <w:pPr>
              <w:cnfStyle w:val="100000000000"/>
            </w:pPr>
            <w:r>
              <w:t>Initial Reading</w:t>
            </w:r>
          </w:p>
        </w:tc>
        <w:tc>
          <w:tcPr>
            <w:tcW w:w="1916" w:type="dxa"/>
          </w:tcPr>
          <w:p w:rsidR="00244555" w:rsidRDefault="00244555" w:rsidP="00723934">
            <w:pPr>
              <w:cnfStyle w:val="100000000000"/>
            </w:pPr>
            <w:r>
              <w:t xml:space="preserve">J. </w:t>
            </w:r>
          </w:p>
          <w:p w:rsidR="00244555" w:rsidRDefault="00244555" w:rsidP="00723934">
            <w:pPr>
              <w:cnfStyle w:val="100000000000"/>
            </w:pPr>
            <w:r>
              <w:t>Final Reading</w:t>
            </w:r>
          </w:p>
        </w:tc>
      </w:tr>
      <w:tr w:rsidR="00244555">
        <w:trPr>
          <w:cnfStyle w:val="000000100000"/>
        </w:trPr>
        <w:tc>
          <w:tcPr>
            <w:cnfStyle w:val="001000000000"/>
            <w:tcW w:w="1915" w:type="dxa"/>
            <w:tcBorders>
              <w:top w:val="nil"/>
              <w:bottom w:val="nil"/>
            </w:tcBorders>
          </w:tcPr>
          <w:p w:rsidR="00244555" w:rsidRDefault="00244555" w:rsidP="00723934">
            <w:r>
              <w:t>1</w:t>
            </w:r>
          </w:p>
        </w:tc>
        <w:tc>
          <w:tcPr>
            <w:tcW w:w="1915" w:type="dxa"/>
            <w:tcBorders>
              <w:top w:val="nil"/>
              <w:bottom w:val="nil"/>
            </w:tcBorders>
          </w:tcPr>
          <w:p w:rsidR="00244555" w:rsidRDefault="00244555" w:rsidP="00723934">
            <w:pPr>
              <w:cnfStyle w:val="000000100000"/>
            </w:pPr>
            <w:r>
              <w:t>6</w:t>
            </w:r>
          </w:p>
        </w:tc>
        <w:tc>
          <w:tcPr>
            <w:tcW w:w="1915" w:type="dxa"/>
            <w:tcBorders>
              <w:top w:val="nil"/>
              <w:bottom w:val="nil"/>
            </w:tcBorders>
          </w:tcPr>
          <w:p w:rsidR="00244555" w:rsidRDefault="00244555" w:rsidP="00723934">
            <w:pPr>
              <w:cnfStyle w:val="000000100000"/>
            </w:pPr>
            <w:r>
              <w:t>--*</w:t>
            </w:r>
          </w:p>
        </w:tc>
        <w:tc>
          <w:tcPr>
            <w:tcW w:w="1915" w:type="dxa"/>
            <w:tcBorders>
              <w:top w:val="nil"/>
              <w:bottom w:val="nil"/>
            </w:tcBorders>
          </w:tcPr>
          <w:p w:rsidR="00244555" w:rsidRDefault="00244555" w:rsidP="00723934">
            <w:pPr>
              <w:cnfStyle w:val="000000100000"/>
            </w:pPr>
            <w:r>
              <w:t>8</w:t>
            </w:r>
          </w:p>
        </w:tc>
        <w:tc>
          <w:tcPr>
            <w:tcW w:w="1916" w:type="dxa"/>
            <w:tcBorders>
              <w:top w:val="nil"/>
              <w:bottom w:val="nil"/>
            </w:tcBorders>
          </w:tcPr>
          <w:p w:rsidR="00244555" w:rsidRDefault="00244555" w:rsidP="00723934">
            <w:pPr>
              <w:cnfStyle w:val="000000100000"/>
            </w:pPr>
            <w:r>
              <w:t>--*</w:t>
            </w:r>
          </w:p>
        </w:tc>
      </w:tr>
      <w:tr w:rsidR="00244555">
        <w:tc>
          <w:tcPr>
            <w:cnfStyle w:val="001000000000"/>
            <w:tcW w:w="1915" w:type="dxa"/>
            <w:tcBorders>
              <w:top w:val="nil"/>
              <w:left w:val="nil"/>
              <w:bottom w:val="nil"/>
              <w:right w:val="nil"/>
            </w:tcBorders>
          </w:tcPr>
          <w:p w:rsidR="00244555" w:rsidRDefault="00244555" w:rsidP="00723934">
            <w:r>
              <w:t>2</w:t>
            </w:r>
          </w:p>
        </w:tc>
        <w:tc>
          <w:tcPr>
            <w:tcW w:w="1915" w:type="dxa"/>
            <w:tcBorders>
              <w:top w:val="nil"/>
              <w:left w:val="nil"/>
              <w:bottom w:val="nil"/>
              <w:right w:val="nil"/>
            </w:tcBorders>
          </w:tcPr>
          <w:p w:rsidR="00244555" w:rsidRDefault="00244555" w:rsidP="00723934">
            <w:pPr>
              <w:cnfStyle w:val="000000000000"/>
            </w:pPr>
            <w:r>
              <w:t>7</w:t>
            </w:r>
          </w:p>
        </w:tc>
        <w:tc>
          <w:tcPr>
            <w:tcW w:w="1915" w:type="dxa"/>
            <w:tcBorders>
              <w:top w:val="nil"/>
              <w:left w:val="nil"/>
              <w:bottom w:val="nil"/>
              <w:right w:val="nil"/>
            </w:tcBorders>
          </w:tcPr>
          <w:p w:rsidR="00244555" w:rsidRDefault="00244555" w:rsidP="00723934">
            <w:pPr>
              <w:cnfStyle w:val="000000000000"/>
            </w:pPr>
            <w:r>
              <w:t>3</w:t>
            </w:r>
          </w:p>
        </w:tc>
        <w:tc>
          <w:tcPr>
            <w:tcW w:w="1915" w:type="dxa"/>
            <w:tcBorders>
              <w:top w:val="nil"/>
              <w:left w:val="nil"/>
              <w:bottom w:val="nil"/>
              <w:right w:val="nil"/>
            </w:tcBorders>
          </w:tcPr>
          <w:p w:rsidR="00244555" w:rsidRDefault="00244555" w:rsidP="00723934">
            <w:pPr>
              <w:cnfStyle w:val="000000000000"/>
            </w:pPr>
            <w:r>
              <w:t>12</w:t>
            </w:r>
          </w:p>
        </w:tc>
        <w:tc>
          <w:tcPr>
            <w:tcW w:w="1916" w:type="dxa"/>
            <w:tcBorders>
              <w:top w:val="nil"/>
              <w:left w:val="nil"/>
              <w:bottom w:val="nil"/>
              <w:right w:val="nil"/>
            </w:tcBorders>
          </w:tcPr>
          <w:p w:rsidR="00244555" w:rsidRDefault="00244555" w:rsidP="00723934">
            <w:pPr>
              <w:cnfStyle w:val="000000000000"/>
            </w:pPr>
            <w:r>
              <w:t>3</w:t>
            </w:r>
          </w:p>
        </w:tc>
      </w:tr>
      <w:tr w:rsidR="00244555">
        <w:trPr>
          <w:cnfStyle w:val="000000100000"/>
        </w:trPr>
        <w:tc>
          <w:tcPr>
            <w:cnfStyle w:val="001000000000"/>
            <w:tcW w:w="1915" w:type="dxa"/>
            <w:tcBorders>
              <w:top w:val="nil"/>
              <w:bottom w:val="nil"/>
            </w:tcBorders>
          </w:tcPr>
          <w:p w:rsidR="00244555" w:rsidRDefault="00244555" w:rsidP="00723934">
            <w:r>
              <w:t>3</w:t>
            </w:r>
          </w:p>
        </w:tc>
        <w:tc>
          <w:tcPr>
            <w:tcW w:w="1915" w:type="dxa"/>
            <w:tcBorders>
              <w:top w:val="nil"/>
              <w:bottom w:val="nil"/>
            </w:tcBorders>
          </w:tcPr>
          <w:p w:rsidR="00244555" w:rsidRDefault="00244555" w:rsidP="00723934">
            <w:pPr>
              <w:cnfStyle w:val="000000100000"/>
            </w:pPr>
            <w:r>
              <w:t>9</w:t>
            </w:r>
          </w:p>
        </w:tc>
        <w:tc>
          <w:tcPr>
            <w:tcW w:w="1915" w:type="dxa"/>
            <w:tcBorders>
              <w:top w:val="nil"/>
              <w:bottom w:val="nil"/>
            </w:tcBorders>
          </w:tcPr>
          <w:p w:rsidR="00244555" w:rsidRDefault="00244555" w:rsidP="00723934">
            <w:pPr>
              <w:cnfStyle w:val="000000100000"/>
            </w:pPr>
            <w:r>
              <w:t>7</w:t>
            </w:r>
          </w:p>
        </w:tc>
        <w:tc>
          <w:tcPr>
            <w:tcW w:w="1915" w:type="dxa"/>
            <w:tcBorders>
              <w:top w:val="nil"/>
              <w:bottom w:val="nil"/>
            </w:tcBorders>
          </w:tcPr>
          <w:p w:rsidR="00244555" w:rsidRDefault="00244555" w:rsidP="00723934">
            <w:pPr>
              <w:cnfStyle w:val="000000100000"/>
            </w:pPr>
            <w:r>
              <w:t>9</w:t>
            </w:r>
          </w:p>
        </w:tc>
        <w:tc>
          <w:tcPr>
            <w:tcW w:w="1916" w:type="dxa"/>
            <w:tcBorders>
              <w:top w:val="nil"/>
              <w:bottom w:val="nil"/>
            </w:tcBorders>
          </w:tcPr>
          <w:p w:rsidR="00244555" w:rsidRDefault="00244555" w:rsidP="00723934">
            <w:pPr>
              <w:cnfStyle w:val="000000100000"/>
            </w:pPr>
            <w:r>
              <w:t>7</w:t>
            </w:r>
          </w:p>
        </w:tc>
      </w:tr>
      <w:tr w:rsidR="00244555">
        <w:tc>
          <w:tcPr>
            <w:cnfStyle w:val="001000000000"/>
            <w:tcW w:w="1915" w:type="dxa"/>
            <w:tcBorders>
              <w:top w:val="nil"/>
              <w:left w:val="nil"/>
              <w:bottom w:val="nil"/>
              <w:right w:val="nil"/>
            </w:tcBorders>
          </w:tcPr>
          <w:p w:rsidR="00244555" w:rsidRDefault="00244555" w:rsidP="00723934">
            <w:r>
              <w:t>4</w:t>
            </w:r>
          </w:p>
        </w:tc>
        <w:tc>
          <w:tcPr>
            <w:tcW w:w="1915" w:type="dxa"/>
            <w:tcBorders>
              <w:top w:val="nil"/>
              <w:left w:val="nil"/>
              <w:bottom w:val="nil"/>
              <w:right w:val="nil"/>
            </w:tcBorders>
          </w:tcPr>
          <w:p w:rsidR="00244555" w:rsidRDefault="00244555" w:rsidP="00723934">
            <w:pPr>
              <w:cnfStyle w:val="000000000000"/>
            </w:pPr>
            <w:r>
              <w:t>7</w:t>
            </w:r>
          </w:p>
        </w:tc>
        <w:tc>
          <w:tcPr>
            <w:tcW w:w="1915" w:type="dxa"/>
            <w:tcBorders>
              <w:top w:val="nil"/>
              <w:left w:val="nil"/>
              <w:bottom w:val="nil"/>
              <w:right w:val="nil"/>
            </w:tcBorders>
          </w:tcPr>
          <w:p w:rsidR="00244555" w:rsidRDefault="00244555" w:rsidP="00723934">
            <w:pPr>
              <w:cnfStyle w:val="000000000000"/>
            </w:pPr>
            <w:r>
              <w:t>1</w:t>
            </w:r>
          </w:p>
        </w:tc>
        <w:tc>
          <w:tcPr>
            <w:tcW w:w="1915" w:type="dxa"/>
            <w:tcBorders>
              <w:top w:val="nil"/>
              <w:left w:val="nil"/>
              <w:bottom w:val="nil"/>
              <w:right w:val="nil"/>
            </w:tcBorders>
          </w:tcPr>
          <w:p w:rsidR="00244555" w:rsidRDefault="00244555" w:rsidP="00723934">
            <w:pPr>
              <w:cnfStyle w:val="000000000000"/>
            </w:pPr>
            <w:r>
              <w:t>5</w:t>
            </w:r>
          </w:p>
        </w:tc>
        <w:tc>
          <w:tcPr>
            <w:tcW w:w="1916" w:type="dxa"/>
            <w:tcBorders>
              <w:top w:val="nil"/>
              <w:left w:val="nil"/>
              <w:bottom w:val="nil"/>
              <w:right w:val="nil"/>
            </w:tcBorders>
          </w:tcPr>
          <w:p w:rsidR="00244555" w:rsidRDefault="00244555" w:rsidP="00723934">
            <w:pPr>
              <w:cnfStyle w:val="000000000000"/>
            </w:pPr>
            <w:r>
              <w:t>1</w:t>
            </w:r>
          </w:p>
        </w:tc>
      </w:tr>
      <w:tr w:rsidR="00244555">
        <w:trPr>
          <w:cnfStyle w:val="000000100000"/>
        </w:trPr>
        <w:tc>
          <w:tcPr>
            <w:cnfStyle w:val="001000000000"/>
            <w:tcW w:w="1915" w:type="dxa"/>
            <w:tcBorders>
              <w:top w:val="nil"/>
              <w:bottom w:val="nil"/>
            </w:tcBorders>
          </w:tcPr>
          <w:p w:rsidR="00244555" w:rsidRDefault="00244555" w:rsidP="00723934">
            <w:r>
              <w:t>5</w:t>
            </w:r>
          </w:p>
        </w:tc>
        <w:tc>
          <w:tcPr>
            <w:tcW w:w="1915" w:type="dxa"/>
            <w:tcBorders>
              <w:top w:val="nil"/>
              <w:bottom w:val="nil"/>
            </w:tcBorders>
          </w:tcPr>
          <w:p w:rsidR="00244555" w:rsidRDefault="00244555" w:rsidP="00723934">
            <w:pPr>
              <w:cnfStyle w:val="000000100000"/>
            </w:pPr>
            <w:r>
              <w:t>10</w:t>
            </w:r>
          </w:p>
        </w:tc>
        <w:tc>
          <w:tcPr>
            <w:tcW w:w="1915" w:type="dxa"/>
            <w:tcBorders>
              <w:top w:val="nil"/>
              <w:bottom w:val="nil"/>
            </w:tcBorders>
          </w:tcPr>
          <w:p w:rsidR="00244555" w:rsidRDefault="00244555" w:rsidP="00723934">
            <w:pPr>
              <w:cnfStyle w:val="000000100000"/>
            </w:pPr>
            <w:r>
              <w:t>--*</w:t>
            </w:r>
          </w:p>
        </w:tc>
        <w:tc>
          <w:tcPr>
            <w:tcW w:w="1915" w:type="dxa"/>
            <w:tcBorders>
              <w:top w:val="nil"/>
              <w:bottom w:val="nil"/>
            </w:tcBorders>
          </w:tcPr>
          <w:p w:rsidR="00244555" w:rsidRDefault="00244555" w:rsidP="00723934">
            <w:pPr>
              <w:cnfStyle w:val="000000100000"/>
            </w:pPr>
            <w:r>
              <w:t>8</w:t>
            </w:r>
          </w:p>
        </w:tc>
        <w:tc>
          <w:tcPr>
            <w:tcW w:w="1916" w:type="dxa"/>
            <w:tcBorders>
              <w:top w:val="nil"/>
              <w:bottom w:val="nil"/>
            </w:tcBorders>
          </w:tcPr>
          <w:p w:rsidR="00244555" w:rsidRDefault="00244555" w:rsidP="00723934">
            <w:pPr>
              <w:cnfStyle w:val="000000100000"/>
            </w:pPr>
            <w:r>
              <w:t>--*</w:t>
            </w:r>
          </w:p>
        </w:tc>
      </w:tr>
      <w:tr w:rsidR="00244555">
        <w:tc>
          <w:tcPr>
            <w:cnfStyle w:val="001000000000"/>
            <w:tcW w:w="1915" w:type="dxa"/>
            <w:tcBorders>
              <w:top w:val="nil"/>
              <w:left w:val="nil"/>
              <w:bottom w:val="nil"/>
              <w:right w:val="nil"/>
            </w:tcBorders>
          </w:tcPr>
          <w:p w:rsidR="00244555" w:rsidRDefault="00244555" w:rsidP="00723934">
            <w:r>
              <w:t>6</w:t>
            </w:r>
          </w:p>
        </w:tc>
        <w:tc>
          <w:tcPr>
            <w:tcW w:w="1915" w:type="dxa"/>
            <w:tcBorders>
              <w:top w:val="nil"/>
              <w:left w:val="nil"/>
              <w:bottom w:val="nil"/>
              <w:right w:val="nil"/>
            </w:tcBorders>
          </w:tcPr>
          <w:p w:rsidR="00244555" w:rsidRDefault="00244555" w:rsidP="00723934">
            <w:pPr>
              <w:cnfStyle w:val="000000000000"/>
            </w:pPr>
            <w:r>
              <w:t>5</w:t>
            </w:r>
          </w:p>
        </w:tc>
        <w:tc>
          <w:tcPr>
            <w:tcW w:w="1915" w:type="dxa"/>
            <w:tcBorders>
              <w:top w:val="nil"/>
              <w:left w:val="nil"/>
              <w:bottom w:val="nil"/>
              <w:right w:val="nil"/>
            </w:tcBorders>
          </w:tcPr>
          <w:p w:rsidR="00244555" w:rsidRDefault="00244555" w:rsidP="00723934">
            <w:pPr>
              <w:cnfStyle w:val="000000000000"/>
            </w:pPr>
            <w:r>
              <w:t>2</w:t>
            </w:r>
          </w:p>
        </w:tc>
        <w:tc>
          <w:tcPr>
            <w:tcW w:w="1915" w:type="dxa"/>
            <w:tcBorders>
              <w:top w:val="nil"/>
              <w:left w:val="nil"/>
              <w:bottom w:val="nil"/>
              <w:right w:val="nil"/>
            </w:tcBorders>
          </w:tcPr>
          <w:p w:rsidR="00244555" w:rsidRDefault="00244555" w:rsidP="00723934">
            <w:pPr>
              <w:cnfStyle w:val="000000000000"/>
            </w:pPr>
            <w:r>
              <w:t>4</w:t>
            </w:r>
          </w:p>
        </w:tc>
        <w:tc>
          <w:tcPr>
            <w:tcW w:w="1916" w:type="dxa"/>
            <w:tcBorders>
              <w:top w:val="nil"/>
              <w:left w:val="nil"/>
              <w:bottom w:val="nil"/>
              <w:right w:val="nil"/>
            </w:tcBorders>
          </w:tcPr>
          <w:p w:rsidR="00244555" w:rsidRDefault="00244555" w:rsidP="00723934">
            <w:pPr>
              <w:cnfStyle w:val="000000000000"/>
            </w:pPr>
            <w:r>
              <w:t>2</w:t>
            </w:r>
          </w:p>
        </w:tc>
      </w:tr>
      <w:tr w:rsidR="00244555">
        <w:trPr>
          <w:cnfStyle w:val="000000100000"/>
        </w:trPr>
        <w:tc>
          <w:tcPr>
            <w:cnfStyle w:val="001000000000"/>
            <w:tcW w:w="1915" w:type="dxa"/>
            <w:tcBorders>
              <w:top w:val="nil"/>
              <w:bottom w:val="single" w:sz="8" w:space="0" w:color="8064A2" w:themeColor="accent4"/>
            </w:tcBorders>
          </w:tcPr>
          <w:p w:rsidR="00244555" w:rsidRDefault="00244555" w:rsidP="00723934">
            <w:r>
              <w:t>7</w:t>
            </w:r>
          </w:p>
        </w:tc>
        <w:tc>
          <w:tcPr>
            <w:tcW w:w="1915" w:type="dxa"/>
            <w:tcBorders>
              <w:top w:val="nil"/>
              <w:bottom w:val="single" w:sz="8" w:space="0" w:color="8064A2" w:themeColor="accent4"/>
            </w:tcBorders>
          </w:tcPr>
          <w:p w:rsidR="00244555" w:rsidRDefault="00244555" w:rsidP="00723934">
            <w:pPr>
              <w:cnfStyle w:val="000000100000"/>
            </w:pPr>
            <w:r>
              <w:t>4</w:t>
            </w:r>
          </w:p>
        </w:tc>
        <w:tc>
          <w:tcPr>
            <w:tcW w:w="1915" w:type="dxa"/>
            <w:tcBorders>
              <w:top w:val="nil"/>
              <w:bottom w:val="single" w:sz="8" w:space="0" w:color="8064A2" w:themeColor="accent4"/>
            </w:tcBorders>
          </w:tcPr>
          <w:p w:rsidR="00244555" w:rsidRDefault="00244555" w:rsidP="00723934">
            <w:pPr>
              <w:cnfStyle w:val="000000100000"/>
            </w:pPr>
            <w:r>
              <w:t>--*</w:t>
            </w:r>
          </w:p>
        </w:tc>
        <w:tc>
          <w:tcPr>
            <w:tcW w:w="1915" w:type="dxa"/>
            <w:tcBorders>
              <w:top w:val="nil"/>
              <w:bottom w:val="single" w:sz="8" w:space="0" w:color="8064A2" w:themeColor="accent4"/>
            </w:tcBorders>
          </w:tcPr>
          <w:p w:rsidR="00244555" w:rsidRDefault="00244555" w:rsidP="00723934">
            <w:pPr>
              <w:cnfStyle w:val="000000100000"/>
            </w:pPr>
            <w:r>
              <w:t>4</w:t>
            </w:r>
          </w:p>
        </w:tc>
        <w:tc>
          <w:tcPr>
            <w:tcW w:w="1916" w:type="dxa"/>
            <w:tcBorders>
              <w:top w:val="nil"/>
              <w:bottom w:val="single" w:sz="8" w:space="0" w:color="8064A2" w:themeColor="accent4"/>
            </w:tcBorders>
          </w:tcPr>
          <w:p w:rsidR="00244555" w:rsidRDefault="00244555" w:rsidP="00723934">
            <w:pPr>
              <w:cnfStyle w:val="000000100000"/>
            </w:pPr>
            <w:r>
              <w:t>--*</w:t>
            </w:r>
          </w:p>
        </w:tc>
      </w:tr>
    </w:tbl>
    <w:p w:rsidR="00226261" w:rsidRDefault="00244555" w:rsidP="00723934">
      <w:pPr>
        <w:spacing w:before="100" w:beforeAutospacing="1" w:after="0"/>
        <w:rPr>
          <w:rFonts w:ascii="Times New Roman" w:hAnsi="Times New Roman"/>
        </w:rPr>
      </w:pPr>
      <w:r w:rsidRPr="00244555">
        <w:rPr>
          <w:rFonts w:ascii="Times New Roman" w:hAnsi="Times New Roman"/>
          <w:i/>
        </w:rPr>
        <w:t>Note</w:t>
      </w:r>
      <w:r>
        <w:rPr>
          <w:rFonts w:ascii="Times New Roman" w:hAnsi="Times New Roman"/>
        </w:rPr>
        <w:t xml:space="preserve">. * data not available </w:t>
      </w:r>
    </w:p>
    <w:p w:rsidR="00226261" w:rsidRDefault="00226261" w:rsidP="0083674F">
      <w:pPr>
        <w:spacing w:beforeAutospacing="1" w:after="0" w:line="480" w:lineRule="auto"/>
        <w:outlineLvl w:val="0"/>
        <w:rPr>
          <w:rFonts w:ascii="Times New Roman" w:hAnsi="Times New Roman"/>
          <w:b/>
        </w:rPr>
      </w:pPr>
      <w:r w:rsidRPr="00226261">
        <w:rPr>
          <w:rFonts w:ascii="Times New Roman" w:hAnsi="Times New Roman"/>
          <w:b/>
        </w:rPr>
        <w:t>Fluency</w:t>
      </w:r>
    </w:p>
    <w:p w:rsidR="000B28E5" w:rsidRDefault="00723934" w:rsidP="0083674F">
      <w:pPr>
        <w:spacing w:beforeAutospacing="1" w:after="0" w:line="480" w:lineRule="auto"/>
        <w:ind w:firstLine="720"/>
        <w:rPr>
          <w:rFonts w:ascii="Times New Roman" w:hAnsi="Times New Roman"/>
        </w:rPr>
      </w:pPr>
      <w:r>
        <w:rPr>
          <w:rFonts w:ascii="Times New Roman" w:hAnsi="Times New Roman"/>
        </w:rPr>
        <w:t>A. and J.’s fluency progress was</w:t>
      </w:r>
      <w:r w:rsidR="00226261">
        <w:rPr>
          <w:rFonts w:ascii="Times New Roman" w:hAnsi="Times New Roman"/>
        </w:rPr>
        <w:t xml:space="preserve"> measured by </w:t>
      </w:r>
      <w:r>
        <w:rPr>
          <w:rFonts w:ascii="Times New Roman" w:hAnsi="Times New Roman"/>
        </w:rPr>
        <w:t>words correct per minute</w:t>
      </w:r>
      <w:r w:rsidR="007F660B">
        <w:rPr>
          <w:rFonts w:ascii="Times New Roman" w:hAnsi="Times New Roman"/>
        </w:rPr>
        <w:t xml:space="preserve"> (WCPM)</w:t>
      </w:r>
      <w:r>
        <w:rPr>
          <w:rFonts w:ascii="Times New Roman" w:hAnsi="Times New Roman"/>
        </w:rPr>
        <w:t>.  H</w:t>
      </w:r>
      <w:r w:rsidR="00226261">
        <w:rPr>
          <w:rFonts w:ascii="Times New Roman" w:hAnsi="Times New Roman"/>
        </w:rPr>
        <w:t xml:space="preserve">owever </w:t>
      </w:r>
      <w:r>
        <w:rPr>
          <w:rFonts w:ascii="Times New Roman" w:hAnsi="Times New Roman"/>
        </w:rPr>
        <w:t xml:space="preserve">the data in this area </w:t>
      </w:r>
      <w:r w:rsidR="00226261">
        <w:rPr>
          <w:rFonts w:ascii="Times New Roman" w:hAnsi="Times New Roman"/>
        </w:rPr>
        <w:t>fluctuated over the course of the study</w:t>
      </w:r>
      <w:r w:rsidR="000B28E5">
        <w:rPr>
          <w:rFonts w:ascii="Times New Roman" w:hAnsi="Times New Roman"/>
        </w:rPr>
        <w:t>, see Table 4</w:t>
      </w:r>
      <w:r w:rsidR="00226261">
        <w:rPr>
          <w:rFonts w:ascii="Times New Roman" w:hAnsi="Times New Roman"/>
        </w:rPr>
        <w:t xml:space="preserve">.  </w:t>
      </w:r>
      <w:r w:rsidR="007F660B">
        <w:rPr>
          <w:rFonts w:ascii="Times New Roman" w:hAnsi="Times New Roman"/>
        </w:rPr>
        <w:t xml:space="preserve">A. </w:t>
      </w:r>
      <w:r w:rsidR="000B28E5">
        <w:rPr>
          <w:rFonts w:ascii="Times New Roman" w:hAnsi="Times New Roman"/>
        </w:rPr>
        <w:t xml:space="preserve">did not make any significant increases or decreases from his benchmark of 57 WCPM.  He made an initial improvement in weeks 1 and 2, however after that he was unable to show a clear pattern of growth.  One possible reason for these findings is that A. was identified as a student in need of special education services due to a learning disability in reading during week 7.  He showed significant deficits in the area of phonemic awareness and phonics.  In general, students with learning disabilities progress at a rate slower than students without disabilities and their progress may be very inconsistent.   </w:t>
      </w:r>
    </w:p>
    <w:p w:rsidR="00271A1F" w:rsidRDefault="000B28E5" w:rsidP="000B28E5">
      <w:pPr>
        <w:spacing w:beforeAutospacing="1" w:after="0" w:line="480" w:lineRule="auto"/>
        <w:ind w:firstLine="720"/>
        <w:rPr>
          <w:rFonts w:ascii="Times New Roman" w:hAnsi="Times New Roman"/>
        </w:rPr>
      </w:pPr>
      <w:r>
        <w:rPr>
          <w:rFonts w:ascii="Times New Roman" w:hAnsi="Times New Roman"/>
        </w:rPr>
        <w:t>J. also had inconsistent d</w:t>
      </w:r>
      <w:r w:rsidR="00271A1F">
        <w:rPr>
          <w:rFonts w:ascii="Times New Roman" w:hAnsi="Times New Roman"/>
        </w:rPr>
        <w:t>ata in regards to fluency, see T</w:t>
      </w:r>
      <w:r>
        <w:rPr>
          <w:rFonts w:ascii="Times New Roman" w:hAnsi="Times New Roman"/>
        </w:rPr>
        <w:t xml:space="preserve">able 4. J.’s benchmark was 37 WCPM.  He showed consistent improvement up to week 4 and reached a peak performance of 85 WCPM.  After that, his fluency rate decreased, however his accuracy rate continued to hold at a consistent rate.   One reasons for this finding, as well as a possible </w:t>
      </w:r>
      <w:r w:rsidR="00271A1F">
        <w:rPr>
          <w:rFonts w:ascii="Times New Roman" w:hAnsi="Times New Roman"/>
        </w:rPr>
        <w:t>explanation</w:t>
      </w:r>
      <w:r>
        <w:rPr>
          <w:rFonts w:ascii="Times New Roman" w:hAnsi="Times New Roman"/>
        </w:rPr>
        <w:t xml:space="preserve"> for A.’s results is that as the students learned and practiced using metacognitive skills, they were more careful and engaged in the decoding process.  In sessions we had discussed at length how to go back and fix mistakes and to really think about what </w:t>
      </w:r>
      <w:r w:rsidR="00C009AD">
        <w:rPr>
          <w:rFonts w:ascii="Times New Roman" w:hAnsi="Times New Roman"/>
        </w:rPr>
        <w:t>they</w:t>
      </w:r>
      <w:r>
        <w:rPr>
          <w:rFonts w:ascii="Times New Roman" w:hAnsi="Times New Roman"/>
        </w:rPr>
        <w:t xml:space="preserve"> were reading. This increased attention</w:t>
      </w:r>
      <w:r w:rsidR="00271A1F">
        <w:rPr>
          <w:rFonts w:ascii="Times New Roman" w:hAnsi="Times New Roman"/>
        </w:rPr>
        <w:t xml:space="preserve"> to what they were reading</w:t>
      </w:r>
      <w:r>
        <w:rPr>
          <w:rFonts w:ascii="Times New Roman" w:hAnsi="Times New Roman"/>
        </w:rPr>
        <w:t xml:space="preserve"> may have slowed down t</w:t>
      </w:r>
      <w:r w:rsidR="00271A1F">
        <w:rPr>
          <w:rFonts w:ascii="Times New Roman" w:hAnsi="Times New Roman"/>
        </w:rPr>
        <w:t>heir fluency rates.</w:t>
      </w:r>
    </w:p>
    <w:p w:rsidR="00271A1F" w:rsidRDefault="00271A1F" w:rsidP="00E83277">
      <w:pPr>
        <w:spacing w:beforeAutospacing="1" w:after="0"/>
        <w:outlineLvl w:val="0"/>
        <w:rPr>
          <w:rFonts w:ascii="Times New Roman" w:hAnsi="Times New Roman"/>
        </w:rPr>
      </w:pPr>
      <w:r>
        <w:rPr>
          <w:rFonts w:ascii="Times New Roman" w:hAnsi="Times New Roman"/>
        </w:rPr>
        <w:t>Table 4</w:t>
      </w:r>
    </w:p>
    <w:p w:rsidR="00271A1F" w:rsidRDefault="00271A1F" w:rsidP="00271A1F">
      <w:pPr>
        <w:spacing w:beforeAutospacing="1" w:after="0"/>
        <w:rPr>
          <w:rFonts w:ascii="Times New Roman" w:hAnsi="Times New Roman"/>
        </w:rPr>
      </w:pPr>
      <w:r>
        <w:rPr>
          <w:rFonts w:ascii="Times New Roman" w:hAnsi="Times New Roman"/>
        </w:rPr>
        <w:t>Oral Reading Fluency Rate Measured in Words Correct Per Minute (WCPM)</w:t>
      </w:r>
    </w:p>
    <w:tbl>
      <w:tblPr>
        <w:tblStyle w:val="LightShading-Accent4"/>
        <w:tblW w:w="0" w:type="auto"/>
        <w:tblLook w:val="04A0"/>
      </w:tblPr>
      <w:tblGrid>
        <w:gridCol w:w="2394"/>
        <w:gridCol w:w="2394"/>
        <w:gridCol w:w="2394"/>
      </w:tblGrid>
      <w:tr w:rsidR="00271A1F">
        <w:trPr>
          <w:cnfStyle w:val="100000000000"/>
        </w:trPr>
        <w:tc>
          <w:tcPr>
            <w:cnfStyle w:val="001000000000"/>
            <w:tcW w:w="2394" w:type="dxa"/>
            <w:vAlign w:val="center"/>
          </w:tcPr>
          <w:p w:rsidR="00271A1F" w:rsidRDefault="00271A1F" w:rsidP="00271A1F">
            <w:pPr>
              <w:jc w:val="center"/>
            </w:pPr>
          </w:p>
        </w:tc>
        <w:tc>
          <w:tcPr>
            <w:tcW w:w="2394" w:type="dxa"/>
            <w:vAlign w:val="center"/>
          </w:tcPr>
          <w:p w:rsidR="00271A1F" w:rsidRDefault="00271A1F" w:rsidP="00271A1F">
            <w:pPr>
              <w:jc w:val="center"/>
              <w:cnfStyle w:val="100000000000"/>
            </w:pPr>
            <w:r>
              <w:t>A. WCPM</w:t>
            </w:r>
          </w:p>
        </w:tc>
        <w:tc>
          <w:tcPr>
            <w:tcW w:w="2394" w:type="dxa"/>
            <w:vAlign w:val="center"/>
          </w:tcPr>
          <w:p w:rsidR="00271A1F" w:rsidRDefault="00271A1F" w:rsidP="00271A1F">
            <w:pPr>
              <w:jc w:val="center"/>
              <w:cnfStyle w:val="100000000000"/>
            </w:pPr>
            <w:r>
              <w:t>J. WCPM</w:t>
            </w:r>
          </w:p>
        </w:tc>
      </w:tr>
      <w:tr w:rsidR="00271A1F">
        <w:trPr>
          <w:cnfStyle w:val="000000100000"/>
        </w:trPr>
        <w:tc>
          <w:tcPr>
            <w:cnfStyle w:val="001000000000"/>
            <w:tcW w:w="2394" w:type="dxa"/>
            <w:tcBorders>
              <w:top w:val="nil"/>
              <w:bottom w:val="nil"/>
            </w:tcBorders>
          </w:tcPr>
          <w:p w:rsidR="00271A1F" w:rsidRDefault="00271A1F">
            <w:r>
              <w:t>Benchmark</w:t>
            </w:r>
          </w:p>
        </w:tc>
        <w:tc>
          <w:tcPr>
            <w:tcW w:w="2394" w:type="dxa"/>
            <w:tcBorders>
              <w:top w:val="nil"/>
              <w:bottom w:val="nil"/>
            </w:tcBorders>
            <w:vAlign w:val="center"/>
          </w:tcPr>
          <w:p w:rsidR="00271A1F" w:rsidRDefault="00271A1F" w:rsidP="00271A1F">
            <w:pPr>
              <w:jc w:val="center"/>
              <w:cnfStyle w:val="000000100000"/>
            </w:pPr>
            <w:r>
              <w:t>57</w:t>
            </w:r>
          </w:p>
        </w:tc>
        <w:tc>
          <w:tcPr>
            <w:tcW w:w="2394" w:type="dxa"/>
            <w:tcBorders>
              <w:top w:val="nil"/>
              <w:bottom w:val="nil"/>
            </w:tcBorders>
            <w:vAlign w:val="center"/>
          </w:tcPr>
          <w:p w:rsidR="00271A1F" w:rsidRDefault="00271A1F" w:rsidP="00271A1F">
            <w:pPr>
              <w:jc w:val="center"/>
              <w:cnfStyle w:val="000000100000"/>
            </w:pPr>
            <w:r>
              <w:t>37</w:t>
            </w:r>
          </w:p>
        </w:tc>
      </w:tr>
      <w:tr w:rsidR="00271A1F">
        <w:tc>
          <w:tcPr>
            <w:cnfStyle w:val="001000000000"/>
            <w:tcW w:w="2394" w:type="dxa"/>
            <w:tcBorders>
              <w:top w:val="nil"/>
              <w:bottom w:val="nil"/>
            </w:tcBorders>
          </w:tcPr>
          <w:p w:rsidR="00271A1F" w:rsidRDefault="00271A1F">
            <w:r>
              <w:t>Week 1</w:t>
            </w:r>
          </w:p>
        </w:tc>
        <w:tc>
          <w:tcPr>
            <w:tcW w:w="2394" w:type="dxa"/>
            <w:tcBorders>
              <w:top w:val="nil"/>
              <w:bottom w:val="nil"/>
            </w:tcBorders>
            <w:vAlign w:val="center"/>
          </w:tcPr>
          <w:p w:rsidR="00271A1F" w:rsidRDefault="00271A1F" w:rsidP="00271A1F">
            <w:pPr>
              <w:jc w:val="center"/>
              <w:cnfStyle w:val="000000000000"/>
            </w:pPr>
            <w:r>
              <w:t>53</w:t>
            </w:r>
          </w:p>
        </w:tc>
        <w:tc>
          <w:tcPr>
            <w:tcW w:w="2394" w:type="dxa"/>
            <w:tcBorders>
              <w:top w:val="nil"/>
              <w:bottom w:val="nil"/>
            </w:tcBorders>
            <w:vAlign w:val="center"/>
          </w:tcPr>
          <w:p w:rsidR="00271A1F" w:rsidRDefault="00271A1F" w:rsidP="00271A1F">
            <w:pPr>
              <w:jc w:val="center"/>
              <w:cnfStyle w:val="000000000000"/>
            </w:pPr>
            <w:r>
              <w:t>69</w:t>
            </w:r>
          </w:p>
        </w:tc>
      </w:tr>
      <w:tr w:rsidR="00271A1F">
        <w:trPr>
          <w:cnfStyle w:val="000000100000"/>
        </w:trPr>
        <w:tc>
          <w:tcPr>
            <w:cnfStyle w:val="001000000000"/>
            <w:tcW w:w="2394" w:type="dxa"/>
            <w:tcBorders>
              <w:top w:val="nil"/>
              <w:bottom w:val="nil"/>
            </w:tcBorders>
          </w:tcPr>
          <w:p w:rsidR="00271A1F" w:rsidRDefault="00271A1F">
            <w:r>
              <w:t>Week 2</w:t>
            </w:r>
          </w:p>
        </w:tc>
        <w:tc>
          <w:tcPr>
            <w:tcW w:w="2394" w:type="dxa"/>
            <w:tcBorders>
              <w:top w:val="nil"/>
              <w:bottom w:val="nil"/>
            </w:tcBorders>
            <w:vAlign w:val="center"/>
          </w:tcPr>
          <w:p w:rsidR="00271A1F" w:rsidRDefault="00271A1F" w:rsidP="00271A1F">
            <w:pPr>
              <w:jc w:val="center"/>
              <w:cnfStyle w:val="000000100000"/>
            </w:pPr>
            <w:r>
              <w:t>71</w:t>
            </w:r>
          </w:p>
        </w:tc>
        <w:tc>
          <w:tcPr>
            <w:tcW w:w="2394" w:type="dxa"/>
            <w:tcBorders>
              <w:top w:val="nil"/>
              <w:bottom w:val="nil"/>
            </w:tcBorders>
            <w:vAlign w:val="center"/>
          </w:tcPr>
          <w:p w:rsidR="00271A1F" w:rsidRDefault="00271A1F" w:rsidP="00271A1F">
            <w:pPr>
              <w:jc w:val="center"/>
              <w:cnfStyle w:val="000000100000"/>
            </w:pPr>
            <w:r>
              <w:t>53</w:t>
            </w:r>
          </w:p>
        </w:tc>
      </w:tr>
      <w:tr w:rsidR="00271A1F">
        <w:tc>
          <w:tcPr>
            <w:cnfStyle w:val="001000000000"/>
            <w:tcW w:w="2394" w:type="dxa"/>
            <w:tcBorders>
              <w:top w:val="nil"/>
              <w:bottom w:val="nil"/>
            </w:tcBorders>
          </w:tcPr>
          <w:p w:rsidR="00271A1F" w:rsidRDefault="00271A1F">
            <w:r>
              <w:t>Week 3</w:t>
            </w:r>
          </w:p>
        </w:tc>
        <w:tc>
          <w:tcPr>
            <w:tcW w:w="2394" w:type="dxa"/>
            <w:tcBorders>
              <w:top w:val="nil"/>
              <w:bottom w:val="nil"/>
            </w:tcBorders>
            <w:vAlign w:val="center"/>
          </w:tcPr>
          <w:p w:rsidR="00271A1F" w:rsidRDefault="00271A1F" w:rsidP="00271A1F">
            <w:pPr>
              <w:jc w:val="center"/>
              <w:cnfStyle w:val="000000000000"/>
            </w:pPr>
            <w:r>
              <w:t>55</w:t>
            </w:r>
          </w:p>
        </w:tc>
        <w:tc>
          <w:tcPr>
            <w:tcW w:w="2394" w:type="dxa"/>
            <w:tcBorders>
              <w:top w:val="nil"/>
              <w:bottom w:val="nil"/>
            </w:tcBorders>
            <w:vAlign w:val="center"/>
          </w:tcPr>
          <w:p w:rsidR="00271A1F" w:rsidRDefault="00271A1F" w:rsidP="00271A1F">
            <w:pPr>
              <w:jc w:val="center"/>
              <w:cnfStyle w:val="000000000000"/>
            </w:pPr>
            <w:r>
              <w:t>66</w:t>
            </w:r>
          </w:p>
        </w:tc>
      </w:tr>
      <w:tr w:rsidR="00271A1F">
        <w:trPr>
          <w:cnfStyle w:val="000000100000"/>
        </w:trPr>
        <w:tc>
          <w:tcPr>
            <w:cnfStyle w:val="001000000000"/>
            <w:tcW w:w="2394" w:type="dxa"/>
            <w:tcBorders>
              <w:top w:val="nil"/>
              <w:bottom w:val="nil"/>
            </w:tcBorders>
          </w:tcPr>
          <w:p w:rsidR="00271A1F" w:rsidRDefault="00271A1F">
            <w:r>
              <w:t>Week 4</w:t>
            </w:r>
          </w:p>
        </w:tc>
        <w:tc>
          <w:tcPr>
            <w:tcW w:w="2394" w:type="dxa"/>
            <w:tcBorders>
              <w:top w:val="nil"/>
              <w:bottom w:val="nil"/>
            </w:tcBorders>
            <w:vAlign w:val="center"/>
          </w:tcPr>
          <w:p w:rsidR="00271A1F" w:rsidRDefault="00271A1F" w:rsidP="00271A1F">
            <w:pPr>
              <w:jc w:val="center"/>
              <w:cnfStyle w:val="000000100000"/>
            </w:pPr>
            <w:r>
              <w:t>58</w:t>
            </w:r>
          </w:p>
        </w:tc>
        <w:tc>
          <w:tcPr>
            <w:tcW w:w="2394" w:type="dxa"/>
            <w:tcBorders>
              <w:top w:val="nil"/>
              <w:bottom w:val="nil"/>
            </w:tcBorders>
            <w:vAlign w:val="center"/>
          </w:tcPr>
          <w:p w:rsidR="00271A1F" w:rsidRDefault="00271A1F" w:rsidP="00271A1F">
            <w:pPr>
              <w:jc w:val="center"/>
              <w:cnfStyle w:val="000000100000"/>
            </w:pPr>
            <w:r>
              <w:t>85</w:t>
            </w:r>
          </w:p>
        </w:tc>
      </w:tr>
      <w:tr w:rsidR="00271A1F">
        <w:tc>
          <w:tcPr>
            <w:cnfStyle w:val="001000000000"/>
            <w:tcW w:w="2394" w:type="dxa"/>
            <w:tcBorders>
              <w:top w:val="nil"/>
              <w:bottom w:val="nil"/>
            </w:tcBorders>
          </w:tcPr>
          <w:p w:rsidR="00271A1F" w:rsidRDefault="00271A1F">
            <w:r>
              <w:t>Week 5</w:t>
            </w:r>
          </w:p>
        </w:tc>
        <w:tc>
          <w:tcPr>
            <w:tcW w:w="2394" w:type="dxa"/>
            <w:tcBorders>
              <w:top w:val="nil"/>
              <w:bottom w:val="nil"/>
            </w:tcBorders>
            <w:vAlign w:val="center"/>
          </w:tcPr>
          <w:p w:rsidR="00271A1F" w:rsidRDefault="00271A1F" w:rsidP="00271A1F">
            <w:pPr>
              <w:jc w:val="center"/>
              <w:cnfStyle w:val="000000000000"/>
            </w:pPr>
            <w:r>
              <w:t>57</w:t>
            </w:r>
          </w:p>
        </w:tc>
        <w:tc>
          <w:tcPr>
            <w:tcW w:w="2394" w:type="dxa"/>
            <w:tcBorders>
              <w:top w:val="nil"/>
              <w:bottom w:val="nil"/>
            </w:tcBorders>
            <w:vAlign w:val="center"/>
          </w:tcPr>
          <w:p w:rsidR="00271A1F" w:rsidRDefault="00271A1F" w:rsidP="00271A1F">
            <w:pPr>
              <w:jc w:val="center"/>
              <w:cnfStyle w:val="000000000000"/>
            </w:pPr>
            <w:r>
              <w:t>84</w:t>
            </w:r>
          </w:p>
        </w:tc>
      </w:tr>
      <w:tr w:rsidR="00271A1F">
        <w:trPr>
          <w:cnfStyle w:val="000000100000"/>
        </w:trPr>
        <w:tc>
          <w:tcPr>
            <w:cnfStyle w:val="001000000000"/>
            <w:tcW w:w="2394" w:type="dxa"/>
            <w:tcBorders>
              <w:top w:val="nil"/>
              <w:bottom w:val="nil"/>
            </w:tcBorders>
          </w:tcPr>
          <w:p w:rsidR="00271A1F" w:rsidRDefault="00271A1F">
            <w:r>
              <w:t>Week 6</w:t>
            </w:r>
          </w:p>
        </w:tc>
        <w:tc>
          <w:tcPr>
            <w:tcW w:w="2394" w:type="dxa"/>
            <w:tcBorders>
              <w:top w:val="nil"/>
              <w:bottom w:val="nil"/>
            </w:tcBorders>
            <w:vAlign w:val="center"/>
          </w:tcPr>
          <w:p w:rsidR="00271A1F" w:rsidRDefault="00271A1F" w:rsidP="00271A1F">
            <w:pPr>
              <w:jc w:val="center"/>
              <w:cnfStyle w:val="000000100000"/>
            </w:pPr>
            <w:r>
              <w:t>46</w:t>
            </w:r>
          </w:p>
        </w:tc>
        <w:tc>
          <w:tcPr>
            <w:tcW w:w="2394" w:type="dxa"/>
            <w:tcBorders>
              <w:top w:val="nil"/>
              <w:bottom w:val="nil"/>
            </w:tcBorders>
            <w:vAlign w:val="center"/>
          </w:tcPr>
          <w:p w:rsidR="00271A1F" w:rsidRDefault="00271A1F" w:rsidP="00271A1F">
            <w:pPr>
              <w:jc w:val="center"/>
              <w:cnfStyle w:val="000000100000"/>
            </w:pPr>
            <w:r>
              <w:t>70</w:t>
            </w:r>
          </w:p>
        </w:tc>
      </w:tr>
      <w:tr w:rsidR="00271A1F">
        <w:tc>
          <w:tcPr>
            <w:cnfStyle w:val="001000000000"/>
            <w:tcW w:w="2394" w:type="dxa"/>
            <w:tcBorders>
              <w:top w:val="nil"/>
              <w:bottom w:val="single" w:sz="8" w:space="0" w:color="8064A2" w:themeColor="accent4"/>
            </w:tcBorders>
          </w:tcPr>
          <w:p w:rsidR="00271A1F" w:rsidRDefault="00271A1F">
            <w:r>
              <w:t>Week 7</w:t>
            </w:r>
          </w:p>
        </w:tc>
        <w:tc>
          <w:tcPr>
            <w:tcW w:w="2394" w:type="dxa"/>
            <w:tcBorders>
              <w:top w:val="nil"/>
              <w:bottom w:val="single" w:sz="8" w:space="0" w:color="8064A2" w:themeColor="accent4"/>
            </w:tcBorders>
            <w:vAlign w:val="center"/>
          </w:tcPr>
          <w:p w:rsidR="00271A1F" w:rsidRDefault="00271A1F" w:rsidP="00271A1F">
            <w:pPr>
              <w:jc w:val="center"/>
              <w:cnfStyle w:val="000000000000"/>
            </w:pPr>
            <w:r>
              <w:t>53</w:t>
            </w:r>
          </w:p>
        </w:tc>
        <w:tc>
          <w:tcPr>
            <w:tcW w:w="2394" w:type="dxa"/>
            <w:tcBorders>
              <w:top w:val="nil"/>
              <w:bottom w:val="single" w:sz="8" w:space="0" w:color="8064A2" w:themeColor="accent4"/>
            </w:tcBorders>
            <w:vAlign w:val="center"/>
          </w:tcPr>
          <w:p w:rsidR="00271A1F" w:rsidRDefault="00271A1F" w:rsidP="00271A1F">
            <w:pPr>
              <w:jc w:val="center"/>
              <w:cnfStyle w:val="000000000000"/>
            </w:pPr>
            <w:r>
              <w:t>62</w:t>
            </w:r>
          </w:p>
        </w:tc>
      </w:tr>
    </w:tbl>
    <w:p w:rsidR="001F6EF6" w:rsidRPr="00226261" w:rsidRDefault="001F6EF6" w:rsidP="00271A1F">
      <w:pPr>
        <w:spacing w:beforeAutospacing="1" w:after="0" w:line="480" w:lineRule="auto"/>
        <w:rPr>
          <w:rFonts w:ascii="Times New Roman" w:hAnsi="Times New Roman"/>
        </w:rPr>
      </w:pPr>
    </w:p>
    <w:p w:rsidR="00A84C97" w:rsidRDefault="001F6EF6" w:rsidP="00E83277">
      <w:pPr>
        <w:spacing w:before="100" w:beforeAutospacing="1" w:after="0" w:line="480" w:lineRule="auto"/>
        <w:outlineLvl w:val="0"/>
        <w:rPr>
          <w:rFonts w:ascii="Times New Roman" w:hAnsi="Times New Roman"/>
          <w:b/>
        </w:rPr>
      </w:pPr>
      <w:r>
        <w:rPr>
          <w:rFonts w:ascii="Times New Roman" w:hAnsi="Times New Roman"/>
          <w:b/>
        </w:rPr>
        <w:t>Metacogn</w:t>
      </w:r>
      <w:r w:rsidR="00226261">
        <w:rPr>
          <w:rFonts w:ascii="Times New Roman" w:hAnsi="Times New Roman"/>
          <w:b/>
        </w:rPr>
        <w:t>i</w:t>
      </w:r>
      <w:r>
        <w:rPr>
          <w:rFonts w:ascii="Times New Roman" w:hAnsi="Times New Roman"/>
          <w:b/>
        </w:rPr>
        <w:t>tive Strategies</w:t>
      </w:r>
    </w:p>
    <w:p w:rsidR="007E4ABE" w:rsidRDefault="00A84C97" w:rsidP="00E83277">
      <w:pPr>
        <w:spacing w:before="100" w:beforeAutospacing="1" w:after="0" w:line="480" w:lineRule="auto"/>
        <w:outlineLvl w:val="0"/>
        <w:rPr>
          <w:rFonts w:ascii="Times New Roman" w:hAnsi="Times New Roman"/>
        </w:rPr>
      </w:pPr>
      <w:r>
        <w:rPr>
          <w:rFonts w:ascii="Times New Roman" w:hAnsi="Times New Roman"/>
        </w:rPr>
        <w:tab/>
        <w:t xml:space="preserve">My field notes </w:t>
      </w:r>
      <w:r w:rsidR="007E4ABE">
        <w:rPr>
          <w:rFonts w:ascii="Times New Roman" w:hAnsi="Times New Roman"/>
        </w:rPr>
        <w:t xml:space="preserve">and interviews with A. and J. show that over the course of the study they </w:t>
      </w:r>
      <w:r w:rsidR="00C009AD">
        <w:rPr>
          <w:rFonts w:ascii="Times New Roman" w:hAnsi="Times New Roman"/>
        </w:rPr>
        <w:t>were</w:t>
      </w:r>
      <w:r w:rsidR="007E4ABE">
        <w:rPr>
          <w:rFonts w:ascii="Times New Roman" w:hAnsi="Times New Roman"/>
        </w:rPr>
        <w:t xml:space="preserve"> using metacognitive strategies taught to help them decode more accurately.   As early as week three in the study, both A. and J. were making sta</w:t>
      </w:r>
      <w:r w:rsidR="006C5E51">
        <w:rPr>
          <w:rFonts w:ascii="Times New Roman" w:hAnsi="Times New Roman"/>
        </w:rPr>
        <w:t>temen</w:t>
      </w:r>
      <w:r w:rsidR="007E4ABE">
        <w:rPr>
          <w:rFonts w:ascii="Times New Roman" w:hAnsi="Times New Roman"/>
        </w:rPr>
        <w:t>ts that showed they were recognizing when they misread a word.  Both students would read and after making a miscue woul</w:t>
      </w:r>
      <w:r w:rsidR="007D4B11">
        <w:rPr>
          <w:rFonts w:ascii="Times New Roman" w:hAnsi="Times New Roman"/>
        </w:rPr>
        <w:t>d say statements such as, “</w:t>
      </w:r>
      <w:r w:rsidR="007E4ABE">
        <w:rPr>
          <w:rFonts w:ascii="Times New Roman" w:hAnsi="Times New Roman"/>
        </w:rPr>
        <w:t xml:space="preserve">That doesn’t sound right!” before going back to try to correct errors.  As the sessions progressed, they were able to recognize their mistakes easily.  However, they continued to need coaching and assistance in breaking down word parts to decode unknown words.  In the final interview, both students were able to identify metacognitive strategies they used to correct their errors.  Strategies they named were: sound it out, look at the word to find parts I know, try not to guess at it, tap it out, and if it doesn’t make sense, go back and try it again.  Based on my field notes, J. showed the most evidence of using these strategies during the reading process.  He often made statements like “I know this [word part] is ing” and then used that knowledge to figure out the word.  He took is time and paid noticeably more attention to his accuracy as the sessions progressed. </w:t>
      </w:r>
    </w:p>
    <w:p w:rsidR="001F6EF6" w:rsidRPr="007E4ABE" w:rsidRDefault="001F6EF6" w:rsidP="007E4ABE">
      <w:pPr>
        <w:spacing w:beforeAutospacing="1" w:after="0" w:line="480" w:lineRule="auto"/>
        <w:outlineLvl w:val="0"/>
        <w:rPr>
          <w:rFonts w:ascii="Times New Roman" w:hAnsi="Times New Roman"/>
        </w:rPr>
      </w:pPr>
      <w:r>
        <w:rPr>
          <w:rFonts w:ascii="Times New Roman" w:hAnsi="Times New Roman"/>
          <w:b/>
        </w:rPr>
        <w:t>Other Findings</w:t>
      </w:r>
    </w:p>
    <w:p w:rsidR="00AB6E7B" w:rsidRDefault="007E4ABE" w:rsidP="007E4ABE">
      <w:pPr>
        <w:spacing w:beforeAutospacing="1" w:after="0" w:line="480" w:lineRule="auto"/>
        <w:ind w:firstLine="720"/>
        <w:rPr>
          <w:rFonts w:ascii="Times New Roman" w:hAnsi="Times New Roman"/>
        </w:rPr>
      </w:pPr>
      <w:r w:rsidRPr="007E4ABE">
        <w:rPr>
          <w:rFonts w:ascii="Times New Roman" w:hAnsi="Times New Roman"/>
        </w:rPr>
        <w:t xml:space="preserve">While </w:t>
      </w:r>
      <w:r w:rsidR="008344F6">
        <w:rPr>
          <w:rFonts w:ascii="Times New Roman" w:hAnsi="Times New Roman"/>
        </w:rPr>
        <w:t xml:space="preserve">implementing this research project, I also explored how these two struggling readers felt about reading </w:t>
      </w:r>
      <w:r w:rsidR="007D4B11">
        <w:rPr>
          <w:rFonts w:ascii="Times New Roman" w:hAnsi="Times New Roman"/>
        </w:rPr>
        <w:t>academically</w:t>
      </w:r>
      <w:r w:rsidR="008344F6">
        <w:rPr>
          <w:rFonts w:ascii="Times New Roman" w:hAnsi="Times New Roman"/>
        </w:rPr>
        <w:t xml:space="preserve"> and reading for </w:t>
      </w:r>
      <w:r w:rsidR="007D4B11">
        <w:rPr>
          <w:rFonts w:ascii="Times New Roman" w:hAnsi="Times New Roman"/>
        </w:rPr>
        <w:t>recreation</w:t>
      </w:r>
      <w:r w:rsidR="008344F6">
        <w:rPr>
          <w:rFonts w:ascii="Times New Roman" w:hAnsi="Times New Roman"/>
        </w:rPr>
        <w:t>.  I administered the Elementary Reading Attitude Survey (ERAS) (McKenna and Kear, 1990) and asked interview questions to gauge their attitudes toward reading</w:t>
      </w:r>
      <w:r w:rsidR="00AB6E7B">
        <w:rPr>
          <w:rFonts w:ascii="Times New Roman" w:hAnsi="Times New Roman"/>
        </w:rPr>
        <w:t xml:space="preserve"> recreationally and academically</w:t>
      </w:r>
      <w:r w:rsidR="008344F6">
        <w:rPr>
          <w:rFonts w:ascii="Times New Roman" w:hAnsi="Times New Roman"/>
        </w:rPr>
        <w:t>.  The ERAS showed interesting results. I gave the ERAS at the beginning of the project and then again over the final week, see Table 5.  A. showed a decreased in overall reading attitude while J. showed and overall increase in reading attitude.  A. had initially scored in the 99</w:t>
      </w:r>
      <w:r w:rsidR="008344F6" w:rsidRPr="008344F6">
        <w:rPr>
          <w:rFonts w:ascii="Times New Roman" w:hAnsi="Times New Roman"/>
          <w:vertAlign w:val="superscript"/>
        </w:rPr>
        <w:t>th</w:t>
      </w:r>
      <w:r w:rsidR="008344F6">
        <w:rPr>
          <w:rFonts w:ascii="Times New Roman" w:hAnsi="Times New Roman"/>
        </w:rPr>
        <w:t xml:space="preserve"> </w:t>
      </w:r>
      <w:r w:rsidR="007D4B11">
        <w:rPr>
          <w:rFonts w:ascii="Times New Roman" w:hAnsi="Times New Roman"/>
        </w:rPr>
        <w:t>percentile</w:t>
      </w:r>
      <w:r w:rsidR="008344F6">
        <w:rPr>
          <w:rFonts w:ascii="Times New Roman" w:hAnsi="Times New Roman"/>
        </w:rPr>
        <w:t xml:space="preserve"> for reading attitude, </w:t>
      </w:r>
      <w:r w:rsidR="00AB6E7B">
        <w:rPr>
          <w:rFonts w:ascii="Times New Roman" w:hAnsi="Times New Roman"/>
        </w:rPr>
        <w:t>indicating</w:t>
      </w:r>
      <w:r w:rsidR="008344F6">
        <w:rPr>
          <w:rFonts w:ascii="Times New Roman" w:hAnsi="Times New Roman"/>
        </w:rPr>
        <w:t xml:space="preserve"> that he felt extremely happy about all of the statements in the survey.  I think that this may have been a case where A. was telling me answers that he thought I</w:t>
      </w:r>
      <w:r w:rsidR="007D4B11">
        <w:rPr>
          <w:rFonts w:ascii="Times New Roman" w:hAnsi="Times New Roman"/>
        </w:rPr>
        <w:t>, the teacher,</w:t>
      </w:r>
      <w:r w:rsidR="008344F6">
        <w:rPr>
          <w:rFonts w:ascii="Times New Roman" w:hAnsi="Times New Roman"/>
        </w:rPr>
        <w:t xml:space="preserve"> wanted to hear.  However, in his final survey he still scored quite high, in the 84</w:t>
      </w:r>
      <w:r w:rsidR="008344F6" w:rsidRPr="008344F6">
        <w:rPr>
          <w:rFonts w:ascii="Times New Roman" w:hAnsi="Times New Roman"/>
          <w:vertAlign w:val="superscript"/>
        </w:rPr>
        <w:t>th</w:t>
      </w:r>
      <w:r w:rsidR="008344F6">
        <w:rPr>
          <w:rFonts w:ascii="Times New Roman" w:hAnsi="Times New Roman"/>
        </w:rPr>
        <w:t xml:space="preserve"> percentile</w:t>
      </w:r>
      <w:r w:rsidR="00AB6E7B">
        <w:rPr>
          <w:rFonts w:ascii="Times New Roman" w:hAnsi="Times New Roman"/>
        </w:rPr>
        <w:t xml:space="preserve"> for the full scale, combined score of recreational and academic reading</w:t>
      </w:r>
      <w:r w:rsidR="008344F6">
        <w:rPr>
          <w:rFonts w:ascii="Times New Roman" w:hAnsi="Times New Roman"/>
        </w:rPr>
        <w:t xml:space="preserve">.  The results of this did not surprise me however, because A. is generally a very happy, positive child about all activities we do in class.    J.’s results from the ERAS were encouraging.  He increased in percentile for recreational, academic and overall attitude toward reading.  Perhaps the more positive attitude resulted from </w:t>
      </w:r>
      <w:r w:rsidR="00AB6E7B">
        <w:rPr>
          <w:rFonts w:ascii="Times New Roman" w:hAnsi="Times New Roman"/>
        </w:rPr>
        <w:t xml:space="preserve">increased ease with reading from learning new skills to make decoding easier.  </w:t>
      </w:r>
    </w:p>
    <w:p w:rsidR="00AB6E7B" w:rsidRDefault="00AB6E7B" w:rsidP="00AB6E7B">
      <w:pPr>
        <w:spacing w:beforeAutospacing="1" w:after="0"/>
        <w:rPr>
          <w:rFonts w:ascii="Times New Roman" w:hAnsi="Times New Roman"/>
        </w:rPr>
      </w:pPr>
      <w:r>
        <w:rPr>
          <w:rFonts w:ascii="Times New Roman" w:hAnsi="Times New Roman"/>
        </w:rPr>
        <w:t>Table 4</w:t>
      </w:r>
    </w:p>
    <w:p w:rsidR="00AB6E7B" w:rsidRDefault="00AB6E7B" w:rsidP="00AB6E7B">
      <w:pPr>
        <w:spacing w:beforeAutospacing="1" w:after="0"/>
        <w:rPr>
          <w:rFonts w:ascii="Times New Roman" w:hAnsi="Times New Roman"/>
        </w:rPr>
      </w:pPr>
      <w:r>
        <w:rPr>
          <w:rFonts w:ascii="Times New Roman" w:hAnsi="Times New Roman"/>
        </w:rPr>
        <w:t>Elementary Reading Attitude Survey Percentiles</w:t>
      </w:r>
    </w:p>
    <w:tbl>
      <w:tblPr>
        <w:tblStyle w:val="LightShading-Accent4"/>
        <w:tblW w:w="0" w:type="auto"/>
        <w:tblLook w:val="04A0"/>
      </w:tblPr>
      <w:tblGrid>
        <w:gridCol w:w="1457"/>
        <w:gridCol w:w="1798"/>
        <w:gridCol w:w="1798"/>
        <w:gridCol w:w="1197"/>
        <w:gridCol w:w="1197"/>
        <w:gridCol w:w="1057"/>
        <w:gridCol w:w="1072"/>
      </w:tblGrid>
      <w:tr w:rsidR="00AB6E7B">
        <w:trPr>
          <w:cnfStyle w:val="100000000000"/>
        </w:trPr>
        <w:tc>
          <w:tcPr>
            <w:cnfStyle w:val="001000000000"/>
            <w:tcW w:w="1457" w:type="dxa"/>
            <w:vAlign w:val="center"/>
          </w:tcPr>
          <w:p w:rsidR="00AB6E7B" w:rsidRDefault="00AB6E7B" w:rsidP="00AB6E7B">
            <w:pPr>
              <w:jc w:val="center"/>
            </w:pPr>
            <w:r>
              <w:t>Student</w:t>
            </w:r>
          </w:p>
        </w:tc>
        <w:tc>
          <w:tcPr>
            <w:tcW w:w="1798" w:type="dxa"/>
            <w:vAlign w:val="center"/>
          </w:tcPr>
          <w:p w:rsidR="00AB6E7B" w:rsidRDefault="00AB6E7B" w:rsidP="00AB6E7B">
            <w:pPr>
              <w:jc w:val="center"/>
              <w:cnfStyle w:val="100000000000"/>
            </w:pPr>
            <w:r>
              <w:t>Recreational Reading Pretest</w:t>
            </w:r>
          </w:p>
        </w:tc>
        <w:tc>
          <w:tcPr>
            <w:tcW w:w="1798" w:type="dxa"/>
            <w:vAlign w:val="center"/>
          </w:tcPr>
          <w:p w:rsidR="00AB6E7B" w:rsidRDefault="00AB6E7B" w:rsidP="00AB6E7B">
            <w:pPr>
              <w:jc w:val="center"/>
              <w:cnfStyle w:val="100000000000"/>
            </w:pPr>
            <w:r>
              <w:t>Recreational Reading Posttest</w:t>
            </w:r>
          </w:p>
        </w:tc>
        <w:tc>
          <w:tcPr>
            <w:tcW w:w="1197" w:type="dxa"/>
            <w:vAlign w:val="center"/>
          </w:tcPr>
          <w:p w:rsidR="00AB6E7B" w:rsidRDefault="00AB6E7B" w:rsidP="00AB6E7B">
            <w:pPr>
              <w:jc w:val="center"/>
              <w:cnfStyle w:val="100000000000"/>
            </w:pPr>
            <w:r>
              <w:t>Academic Reading Pretest</w:t>
            </w:r>
          </w:p>
        </w:tc>
        <w:tc>
          <w:tcPr>
            <w:tcW w:w="1197" w:type="dxa"/>
            <w:vAlign w:val="center"/>
          </w:tcPr>
          <w:p w:rsidR="00AB6E7B" w:rsidRDefault="00AB6E7B" w:rsidP="00AB6E7B">
            <w:pPr>
              <w:jc w:val="center"/>
              <w:cnfStyle w:val="100000000000"/>
            </w:pPr>
            <w:r>
              <w:t xml:space="preserve">Academic Reading </w:t>
            </w:r>
            <w:r w:rsidR="000A5ABB">
              <w:t>Posttest</w:t>
            </w:r>
          </w:p>
        </w:tc>
        <w:tc>
          <w:tcPr>
            <w:tcW w:w="1057" w:type="dxa"/>
            <w:vAlign w:val="center"/>
          </w:tcPr>
          <w:p w:rsidR="00AB6E7B" w:rsidRDefault="00AB6E7B" w:rsidP="00AB6E7B">
            <w:pPr>
              <w:jc w:val="center"/>
              <w:cnfStyle w:val="100000000000"/>
            </w:pPr>
            <w:r>
              <w:t>Full Scale Pretest</w:t>
            </w:r>
          </w:p>
        </w:tc>
        <w:tc>
          <w:tcPr>
            <w:tcW w:w="1072" w:type="dxa"/>
            <w:vAlign w:val="center"/>
          </w:tcPr>
          <w:p w:rsidR="00AB6E7B" w:rsidRDefault="00AB6E7B" w:rsidP="00AB6E7B">
            <w:pPr>
              <w:jc w:val="center"/>
              <w:cnfStyle w:val="100000000000"/>
            </w:pPr>
            <w:r>
              <w:t>Full Scale Posttest</w:t>
            </w:r>
          </w:p>
        </w:tc>
      </w:tr>
      <w:tr w:rsidR="00AB6E7B">
        <w:trPr>
          <w:cnfStyle w:val="000000100000"/>
        </w:trPr>
        <w:tc>
          <w:tcPr>
            <w:cnfStyle w:val="001000000000"/>
            <w:tcW w:w="1457" w:type="dxa"/>
            <w:tcBorders>
              <w:top w:val="nil"/>
              <w:bottom w:val="nil"/>
            </w:tcBorders>
            <w:vAlign w:val="center"/>
          </w:tcPr>
          <w:p w:rsidR="00AB6E7B" w:rsidRDefault="00AB6E7B" w:rsidP="00AB6E7B">
            <w:pPr>
              <w:jc w:val="center"/>
            </w:pPr>
            <w:r>
              <w:t>A.</w:t>
            </w:r>
          </w:p>
        </w:tc>
        <w:tc>
          <w:tcPr>
            <w:tcW w:w="1798" w:type="dxa"/>
            <w:tcBorders>
              <w:top w:val="nil"/>
              <w:bottom w:val="nil"/>
            </w:tcBorders>
            <w:vAlign w:val="center"/>
          </w:tcPr>
          <w:p w:rsidR="00AB6E7B" w:rsidRDefault="00AB6E7B" w:rsidP="00AB6E7B">
            <w:pPr>
              <w:jc w:val="center"/>
              <w:cnfStyle w:val="000000100000"/>
            </w:pPr>
            <w:r>
              <w:t>99</w:t>
            </w:r>
          </w:p>
        </w:tc>
        <w:tc>
          <w:tcPr>
            <w:tcW w:w="1798" w:type="dxa"/>
            <w:tcBorders>
              <w:top w:val="nil"/>
              <w:bottom w:val="nil"/>
            </w:tcBorders>
            <w:vAlign w:val="center"/>
          </w:tcPr>
          <w:p w:rsidR="00AB6E7B" w:rsidRDefault="00AB6E7B" w:rsidP="00AB6E7B">
            <w:pPr>
              <w:jc w:val="center"/>
              <w:cnfStyle w:val="000000100000"/>
            </w:pPr>
            <w:r>
              <w:t>74</w:t>
            </w:r>
          </w:p>
        </w:tc>
        <w:tc>
          <w:tcPr>
            <w:tcW w:w="1197" w:type="dxa"/>
            <w:tcBorders>
              <w:top w:val="nil"/>
              <w:bottom w:val="nil"/>
            </w:tcBorders>
            <w:vAlign w:val="center"/>
          </w:tcPr>
          <w:p w:rsidR="00AB6E7B" w:rsidRDefault="00AB6E7B" w:rsidP="00AB6E7B">
            <w:pPr>
              <w:jc w:val="center"/>
              <w:cnfStyle w:val="000000100000"/>
            </w:pPr>
            <w:r>
              <w:t>99</w:t>
            </w:r>
          </w:p>
        </w:tc>
        <w:tc>
          <w:tcPr>
            <w:tcW w:w="1197" w:type="dxa"/>
            <w:tcBorders>
              <w:top w:val="nil"/>
              <w:bottom w:val="nil"/>
            </w:tcBorders>
            <w:vAlign w:val="center"/>
          </w:tcPr>
          <w:p w:rsidR="00AB6E7B" w:rsidRDefault="00AB6E7B" w:rsidP="00AB6E7B">
            <w:pPr>
              <w:jc w:val="center"/>
              <w:cnfStyle w:val="000000100000"/>
            </w:pPr>
            <w:r>
              <w:t>89</w:t>
            </w:r>
          </w:p>
        </w:tc>
        <w:tc>
          <w:tcPr>
            <w:tcW w:w="1057" w:type="dxa"/>
            <w:tcBorders>
              <w:top w:val="nil"/>
              <w:bottom w:val="nil"/>
            </w:tcBorders>
            <w:vAlign w:val="center"/>
          </w:tcPr>
          <w:p w:rsidR="00AB6E7B" w:rsidRDefault="00AB6E7B" w:rsidP="00AB6E7B">
            <w:pPr>
              <w:jc w:val="center"/>
              <w:cnfStyle w:val="000000100000"/>
            </w:pPr>
            <w:r>
              <w:t>99</w:t>
            </w:r>
          </w:p>
        </w:tc>
        <w:tc>
          <w:tcPr>
            <w:tcW w:w="1072" w:type="dxa"/>
            <w:tcBorders>
              <w:top w:val="nil"/>
              <w:bottom w:val="nil"/>
            </w:tcBorders>
            <w:vAlign w:val="center"/>
          </w:tcPr>
          <w:p w:rsidR="00AB6E7B" w:rsidRDefault="00AB6E7B" w:rsidP="00AB6E7B">
            <w:pPr>
              <w:jc w:val="center"/>
              <w:cnfStyle w:val="000000100000"/>
            </w:pPr>
            <w:r>
              <w:t>84</w:t>
            </w:r>
          </w:p>
        </w:tc>
      </w:tr>
      <w:tr w:rsidR="00AB6E7B">
        <w:tc>
          <w:tcPr>
            <w:cnfStyle w:val="001000000000"/>
            <w:tcW w:w="1457" w:type="dxa"/>
            <w:tcBorders>
              <w:top w:val="nil"/>
              <w:left w:val="nil"/>
              <w:bottom w:val="nil"/>
              <w:right w:val="nil"/>
            </w:tcBorders>
            <w:vAlign w:val="center"/>
          </w:tcPr>
          <w:p w:rsidR="00AB6E7B" w:rsidRDefault="00AB6E7B" w:rsidP="00AB6E7B">
            <w:pPr>
              <w:jc w:val="center"/>
            </w:pPr>
            <w:r>
              <w:t>J.</w:t>
            </w:r>
          </w:p>
        </w:tc>
        <w:tc>
          <w:tcPr>
            <w:tcW w:w="1798" w:type="dxa"/>
            <w:tcBorders>
              <w:top w:val="nil"/>
              <w:left w:val="nil"/>
              <w:bottom w:val="nil"/>
              <w:right w:val="nil"/>
            </w:tcBorders>
            <w:vAlign w:val="center"/>
          </w:tcPr>
          <w:p w:rsidR="00AB6E7B" w:rsidRDefault="00AB6E7B" w:rsidP="00AB6E7B">
            <w:pPr>
              <w:jc w:val="center"/>
              <w:cnfStyle w:val="000000000000"/>
            </w:pPr>
            <w:r>
              <w:t>6</w:t>
            </w:r>
          </w:p>
        </w:tc>
        <w:tc>
          <w:tcPr>
            <w:tcW w:w="1798" w:type="dxa"/>
            <w:tcBorders>
              <w:top w:val="nil"/>
              <w:left w:val="nil"/>
              <w:bottom w:val="nil"/>
              <w:right w:val="nil"/>
            </w:tcBorders>
            <w:vAlign w:val="center"/>
          </w:tcPr>
          <w:p w:rsidR="00AB6E7B" w:rsidRDefault="00AB6E7B" w:rsidP="00AB6E7B">
            <w:pPr>
              <w:jc w:val="center"/>
              <w:cnfStyle w:val="000000000000"/>
            </w:pPr>
            <w:r>
              <w:t>15</w:t>
            </w:r>
          </w:p>
        </w:tc>
        <w:tc>
          <w:tcPr>
            <w:tcW w:w="1197" w:type="dxa"/>
            <w:tcBorders>
              <w:top w:val="nil"/>
              <w:left w:val="nil"/>
              <w:bottom w:val="nil"/>
              <w:right w:val="nil"/>
            </w:tcBorders>
            <w:vAlign w:val="center"/>
          </w:tcPr>
          <w:p w:rsidR="00AB6E7B" w:rsidRDefault="00AB6E7B" w:rsidP="00AB6E7B">
            <w:pPr>
              <w:jc w:val="center"/>
              <w:cnfStyle w:val="000000000000"/>
            </w:pPr>
            <w:r>
              <w:t>27</w:t>
            </w:r>
          </w:p>
        </w:tc>
        <w:tc>
          <w:tcPr>
            <w:tcW w:w="1197" w:type="dxa"/>
            <w:tcBorders>
              <w:top w:val="nil"/>
              <w:left w:val="nil"/>
              <w:bottom w:val="nil"/>
              <w:right w:val="nil"/>
            </w:tcBorders>
            <w:vAlign w:val="center"/>
          </w:tcPr>
          <w:p w:rsidR="00AB6E7B" w:rsidRDefault="00AB6E7B" w:rsidP="00AB6E7B">
            <w:pPr>
              <w:jc w:val="center"/>
              <w:cnfStyle w:val="000000000000"/>
            </w:pPr>
            <w:r>
              <w:t>57</w:t>
            </w:r>
          </w:p>
        </w:tc>
        <w:tc>
          <w:tcPr>
            <w:tcW w:w="1057" w:type="dxa"/>
            <w:tcBorders>
              <w:top w:val="nil"/>
              <w:left w:val="nil"/>
              <w:bottom w:val="nil"/>
              <w:right w:val="nil"/>
            </w:tcBorders>
            <w:vAlign w:val="center"/>
          </w:tcPr>
          <w:p w:rsidR="00AB6E7B" w:rsidRDefault="00AB6E7B" w:rsidP="00AB6E7B">
            <w:pPr>
              <w:jc w:val="center"/>
              <w:cnfStyle w:val="000000000000"/>
            </w:pPr>
            <w:r>
              <w:t>11</w:t>
            </w:r>
          </w:p>
        </w:tc>
        <w:tc>
          <w:tcPr>
            <w:tcW w:w="1072" w:type="dxa"/>
            <w:tcBorders>
              <w:top w:val="nil"/>
              <w:left w:val="nil"/>
              <w:bottom w:val="nil"/>
              <w:right w:val="nil"/>
            </w:tcBorders>
            <w:vAlign w:val="center"/>
          </w:tcPr>
          <w:p w:rsidR="00AB6E7B" w:rsidRDefault="00AB6E7B" w:rsidP="00AB6E7B">
            <w:pPr>
              <w:jc w:val="center"/>
              <w:cnfStyle w:val="000000000000"/>
            </w:pPr>
            <w:r>
              <w:t>35</w:t>
            </w:r>
          </w:p>
        </w:tc>
      </w:tr>
    </w:tbl>
    <w:p w:rsidR="00052A4A" w:rsidRPr="007E4ABE" w:rsidRDefault="00052A4A" w:rsidP="00AB6E7B">
      <w:pPr>
        <w:spacing w:beforeAutospacing="1" w:after="0" w:line="480" w:lineRule="auto"/>
        <w:rPr>
          <w:rFonts w:ascii="Times New Roman" w:hAnsi="Times New Roman"/>
        </w:rPr>
      </w:pPr>
    </w:p>
    <w:p w:rsidR="00052A4A" w:rsidRDefault="00052A4A" w:rsidP="00E83277">
      <w:pPr>
        <w:spacing w:after="0" w:line="480" w:lineRule="auto"/>
        <w:jc w:val="center"/>
        <w:outlineLvl w:val="0"/>
        <w:rPr>
          <w:rFonts w:ascii="Times New Roman" w:hAnsi="Times New Roman"/>
          <w:b/>
        </w:rPr>
      </w:pPr>
      <w:r>
        <w:rPr>
          <w:rFonts w:ascii="Times New Roman" w:hAnsi="Times New Roman"/>
          <w:b/>
        </w:rPr>
        <w:t>Discussion</w:t>
      </w:r>
    </w:p>
    <w:p w:rsidR="00EF4B7A" w:rsidRDefault="0083674F" w:rsidP="00EF4B7A">
      <w:pPr>
        <w:spacing w:after="0" w:line="480" w:lineRule="auto"/>
        <w:ind w:firstLine="720"/>
        <w:rPr>
          <w:rFonts w:ascii="Times New Roman" w:hAnsi="Times New Roman"/>
        </w:rPr>
      </w:pPr>
      <w:r>
        <w:rPr>
          <w:rFonts w:ascii="Times New Roman" w:hAnsi="Times New Roman"/>
        </w:rPr>
        <w:t xml:space="preserve"> This project has allowed me to explore the questions: </w:t>
      </w:r>
      <w:r>
        <w:rPr>
          <w:rFonts w:ascii="Times New Roman" w:hAnsi="Times New Roman"/>
          <w:i/>
        </w:rPr>
        <w:t>How does instruction in metacognitive strategies help students become aware of their reading accuracy and fluency? How does instruction in metacognitive strategies and the use of repeated reading exercises help students apply phonics skills when reading grade level texts as measured by oral reading fluency?</w:t>
      </w:r>
      <w:r>
        <w:rPr>
          <w:rFonts w:ascii="Times New Roman" w:hAnsi="Times New Roman"/>
        </w:rPr>
        <w:t xml:space="preserve"> Metacognitive strategies do help students become aware of their reading accuracy and fluency.  Both students I worked with showed increased evidence over time of using these types of strategies to help them read more accurately.  While their fluency did not increase as much or as consistently as I had hoped, that may be due in part to their increased attention to their decoding while reading.  My data showed that </w:t>
      </w:r>
      <w:r w:rsidR="00EF4B7A">
        <w:rPr>
          <w:rFonts w:ascii="Times New Roman" w:hAnsi="Times New Roman"/>
        </w:rPr>
        <w:t>repeated readings, used in conjunction with instruction in metacognitive strategies do</w:t>
      </w:r>
      <w:r>
        <w:rPr>
          <w:rFonts w:ascii="Times New Roman" w:hAnsi="Times New Roman"/>
        </w:rPr>
        <w:t xml:space="preserve"> help students apply phonics skills more accurately when reading.  I need to continue to teach these strategies not only to at risk students, but all students to help them become more accurate readers.  As they become more accurate</w:t>
      </w:r>
      <w:r w:rsidR="00EF4B7A">
        <w:rPr>
          <w:rFonts w:ascii="Times New Roman" w:hAnsi="Times New Roman"/>
        </w:rPr>
        <w:t xml:space="preserve"> and their decoding skills become more automatic</w:t>
      </w:r>
      <w:r>
        <w:rPr>
          <w:rFonts w:ascii="Times New Roman" w:hAnsi="Times New Roman"/>
        </w:rPr>
        <w:t>, I believe that oral reading fluency will increase</w:t>
      </w:r>
      <w:r w:rsidR="00EF4B7A">
        <w:rPr>
          <w:rFonts w:ascii="Times New Roman" w:hAnsi="Times New Roman"/>
        </w:rPr>
        <w:t xml:space="preserve"> for both A. and J</w:t>
      </w:r>
      <w:r>
        <w:rPr>
          <w:rFonts w:ascii="Times New Roman" w:hAnsi="Times New Roman"/>
        </w:rPr>
        <w:t xml:space="preserve">.  Had there been more time to extend this study, I think that the fluency data would have shown more positive results. </w:t>
      </w:r>
    </w:p>
    <w:p w:rsidR="000A5ABB" w:rsidRDefault="00EF4B7A" w:rsidP="00D84B1B">
      <w:pPr>
        <w:spacing w:after="0" w:line="480" w:lineRule="auto"/>
        <w:ind w:firstLine="720"/>
        <w:rPr>
          <w:rFonts w:ascii="Times New Roman" w:hAnsi="Times New Roman"/>
        </w:rPr>
      </w:pPr>
      <w:r>
        <w:rPr>
          <w:rFonts w:ascii="Times New Roman" w:hAnsi="Times New Roman"/>
        </w:rPr>
        <w:t>Other teachers who have at risk stude</w:t>
      </w:r>
      <w:r w:rsidR="00987987">
        <w:rPr>
          <w:rFonts w:ascii="Times New Roman" w:hAnsi="Times New Roman"/>
        </w:rPr>
        <w:t xml:space="preserve">nts should consider incorporating </w:t>
      </w:r>
      <w:r>
        <w:rPr>
          <w:rFonts w:ascii="Times New Roman" w:hAnsi="Times New Roman"/>
        </w:rPr>
        <w:t xml:space="preserve">both instruction in metacognitive strategies and repeated reading activities into their curriculum.  Students who are in the primary grades are capable of developing self –regulation and monitoring skills with regards to reading.  Repeated reading activities are a tried and true method of helping students to increase fluency and accuracy.  They should be used to help all students improve fluency but teachers should be mindful of making this an engaging and enjoyable activity by choosing appropriate texts. The use of fun and engaging texts, like poems found on </w:t>
      </w:r>
      <w:hyperlink r:id="rId5" w:history="1">
        <w:r w:rsidRPr="009A2C7C">
          <w:rPr>
            <w:rStyle w:val="Hyperlink"/>
            <w:rFonts w:ascii="Times New Roman" w:hAnsi="Times New Roman"/>
          </w:rPr>
          <w:t>www.gigglepoetry.com</w:t>
        </w:r>
      </w:hyperlink>
      <w:r>
        <w:rPr>
          <w:rFonts w:ascii="Times New Roman" w:hAnsi="Times New Roman"/>
        </w:rPr>
        <w:t xml:space="preserve">, may help increase student motivation and attitudes toward reading.  </w:t>
      </w:r>
    </w:p>
    <w:p w:rsidR="00AD34C7" w:rsidRDefault="000A5ABB" w:rsidP="000A5ABB">
      <w:pPr>
        <w:spacing w:after="0" w:line="480" w:lineRule="auto"/>
        <w:ind w:firstLine="720"/>
        <w:jc w:val="center"/>
        <w:rPr>
          <w:rFonts w:ascii="Times New Roman" w:hAnsi="Times New Roman"/>
        </w:rPr>
      </w:pPr>
      <w:r>
        <w:rPr>
          <w:rFonts w:ascii="Times New Roman" w:hAnsi="Times New Roman"/>
        </w:rPr>
        <w:br w:type="page"/>
        <w:t>References</w:t>
      </w:r>
    </w:p>
    <w:p w:rsidR="00AD34C7" w:rsidRPr="00BF4984" w:rsidRDefault="00AD34C7" w:rsidP="00AD34C7">
      <w:pPr>
        <w:ind w:left="960" w:hanging="720"/>
        <w:rPr>
          <w:rFonts w:eastAsia="Times New Roman"/>
        </w:rPr>
      </w:pPr>
      <w:proofErr w:type="spellStart"/>
      <w:r w:rsidRPr="00BF4984">
        <w:rPr>
          <w:rFonts w:eastAsia="Times New Roman"/>
          <w:color w:val="121212"/>
        </w:rPr>
        <w:t>Boushey</w:t>
      </w:r>
      <w:proofErr w:type="spellEnd"/>
      <w:r w:rsidRPr="00BF4984">
        <w:rPr>
          <w:rFonts w:eastAsia="Times New Roman"/>
          <w:color w:val="121212"/>
        </w:rPr>
        <w:t xml:space="preserve">, G., &amp; Moser, J. (2006). </w:t>
      </w:r>
      <w:r w:rsidRPr="00BF4984">
        <w:rPr>
          <w:rFonts w:eastAsia="Times New Roman"/>
          <w:i/>
          <w:iCs/>
          <w:color w:val="121212"/>
        </w:rPr>
        <w:t>The daily 5: Fostering literacy independence in the elementary grades.</w:t>
      </w:r>
      <w:r w:rsidRPr="00BF4984">
        <w:rPr>
          <w:rFonts w:eastAsia="Times New Roman"/>
          <w:color w:val="121212"/>
        </w:rPr>
        <w:t xml:space="preserve"> Portland, Me: </w:t>
      </w:r>
      <w:proofErr w:type="spellStart"/>
      <w:r w:rsidRPr="00BF4984">
        <w:rPr>
          <w:rFonts w:eastAsia="Times New Roman"/>
          <w:color w:val="121212"/>
        </w:rPr>
        <w:t>Ste</w:t>
      </w:r>
      <w:r>
        <w:rPr>
          <w:rFonts w:eastAsia="Times New Roman"/>
          <w:color w:val="121212"/>
        </w:rPr>
        <w:t>i</w:t>
      </w:r>
      <w:r w:rsidRPr="00BF4984">
        <w:rPr>
          <w:rFonts w:eastAsia="Times New Roman"/>
          <w:color w:val="121212"/>
        </w:rPr>
        <w:t>nhouse</w:t>
      </w:r>
      <w:proofErr w:type="spellEnd"/>
      <w:r w:rsidRPr="00BF4984">
        <w:rPr>
          <w:rFonts w:eastAsia="Times New Roman"/>
          <w:color w:val="121212"/>
        </w:rPr>
        <w:t xml:space="preserve"> Publishers.</w:t>
      </w:r>
    </w:p>
    <w:p w:rsidR="00C466CE" w:rsidRDefault="00AD34C7" w:rsidP="00AD34C7">
      <w:pPr>
        <w:ind w:left="960" w:hanging="720"/>
        <w:rPr>
          <w:rFonts w:eastAsia="Times New Roman"/>
          <w:color w:val="121212"/>
        </w:rPr>
      </w:pPr>
      <w:proofErr w:type="spellStart"/>
      <w:r w:rsidRPr="00BF4984">
        <w:rPr>
          <w:rFonts w:eastAsia="Times New Roman"/>
          <w:color w:val="121212"/>
        </w:rPr>
        <w:t>Boushey</w:t>
      </w:r>
      <w:proofErr w:type="spellEnd"/>
      <w:r w:rsidRPr="00BF4984">
        <w:rPr>
          <w:rFonts w:eastAsia="Times New Roman"/>
          <w:color w:val="121212"/>
        </w:rPr>
        <w:t xml:space="preserve">, G., &amp; Moser, J. (2009). </w:t>
      </w:r>
      <w:r w:rsidRPr="00BF4984">
        <w:rPr>
          <w:rFonts w:eastAsia="Times New Roman"/>
          <w:i/>
          <w:iCs/>
          <w:color w:val="121212"/>
        </w:rPr>
        <w:t>The cafe book: Engaging all students in daily literary assessment and instruction.</w:t>
      </w:r>
      <w:r w:rsidRPr="00BF4984">
        <w:rPr>
          <w:rFonts w:eastAsia="Times New Roman"/>
          <w:color w:val="121212"/>
        </w:rPr>
        <w:t xml:space="preserve"> Portland, Me: </w:t>
      </w:r>
      <w:proofErr w:type="spellStart"/>
      <w:r w:rsidRPr="00BF4984">
        <w:rPr>
          <w:rFonts w:eastAsia="Times New Roman"/>
          <w:color w:val="121212"/>
        </w:rPr>
        <w:t>Ste</w:t>
      </w:r>
      <w:r>
        <w:rPr>
          <w:rFonts w:eastAsia="Times New Roman"/>
          <w:color w:val="121212"/>
        </w:rPr>
        <w:t>i</w:t>
      </w:r>
      <w:r w:rsidRPr="00BF4984">
        <w:rPr>
          <w:rFonts w:eastAsia="Times New Roman"/>
          <w:color w:val="121212"/>
        </w:rPr>
        <w:t>nhouse</w:t>
      </w:r>
      <w:proofErr w:type="spellEnd"/>
      <w:r w:rsidRPr="00BF4984">
        <w:rPr>
          <w:rFonts w:eastAsia="Times New Roman"/>
          <w:color w:val="121212"/>
        </w:rPr>
        <w:t xml:space="preserve"> Publishers.</w:t>
      </w:r>
    </w:p>
    <w:p w:rsidR="00AD34C7" w:rsidRDefault="00C466CE" w:rsidP="00AD34C7">
      <w:pPr>
        <w:ind w:left="960" w:hanging="720"/>
        <w:rPr>
          <w:rFonts w:eastAsia="Times New Roman"/>
        </w:rPr>
      </w:pPr>
      <w:r w:rsidRPr="00C466CE">
        <w:rPr>
          <w:rFonts w:eastAsia="Times New Roman"/>
        </w:rPr>
        <w:t xml:space="preserve">Ekwall, E., &amp; Shanker, J. (2010). </w:t>
      </w:r>
      <w:proofErr w:type="gramStart"/>
      <w:r w:rsidRPr="00C466CE">
        <w:rPr>
          <w:rFonts w:eastAsia="Times New Roman"/>
          <w:i/>
          <w:iCs/>
        </w:rPr>
        <w:t xml:space="preserve">Ekwall / </w:t>
      </w:r>
      <w:proofErr w:type="spellStart"/>
      <w:r w:rsidRPr="00C466CE">
        <w:rPr>
          <w:rFonts w:eastAsia="Times New Roman"/>
          <w:i/>
          <w:iCs/>
        </w:rPr>
        <w:t>shanker</w:t>
      </w:r>
      <w:proofErr w:type="spellEnd"/>
      <w:r w:rsidRPr="00C466CE">
        <w:rPr>
          <w:rFonts w:eastAsia="Times New Roman"/>
          <w:i/>
          <w:iCs/>
        </w:rPr>
        <w:t xml:space="preserve"> reading inventory - 5th edition.</w:t>
      </w:r>
      <w:proofErr w:type="gramEnd"/>
      <w:r w:rsidRPr="00C466CE">
        <w:rPr>
          <w:rFonts w:eastAsia="Times New Roman"/>
        </w:rPr>
        <w:t xml:space="preserve"> Boston: Pearson - </w:t>
      </w:r>
      <w:proofErr w:type="spellStart"/>
      <w:r w:rsidRPr="00C466CE">
        <w:rPr>
          <w:rFonts w:eastAsia="Times New Roman"/>
        </w:rPr>
        <w:t>Allyn</w:t>
      </w:r>
      <w:proofErr w:type="spellEnd"/>
      <w:r w:rsidRPr="00C466CE">
        <w:rPr>
          <w:rFonts w:eastAsia="Times New Roman"/>
        </w:rPr>
        <w:t xml:space="preserve"> And Bacon.</w:t>
      </w:r>
    </w:p>
    <w:p w:rsidR="00AD34C7" w:rsidRDefault="00AD34C7" w:rsidP="00AD34C7">
      <w:pPr>
        <w:ind w:left="960" w:hanging="720"/>
        <w:rPr>
          <w:rFonts w:eastAsia="Times New Roman"/>
        </w:rPr>
      </w:pPr>
      <w:proofErr w:type="spellStart"/>
      <w:r w:rsidRPr="00BF4984">
        <w:rPr>
          <w:rFonts w:eastAsia="Times New Roman"/>
        </w:rPr>
        <w:t>Ehri</w:t>
      </w:r>
      <w:proofErr w:type="spellEnd"/>
      <w:r w:rsidRPr="00BF4984">
        <w:rPr>
          <w:rFonts w:eastAsia="Times New Roman"/>
        </w:rPr>
        <w:t xml:space="preserve">, L. C. (2005). Learning to Read Words: Theory, Findings, and Issues. </w:t>
      </w:r>
      <w:proofErr w:type="gramStart"/>
      <w:r w:rsidRPr="00BF4984">
        <w:rPr>
          <w:rFonts w:eastAsia="Times New Roman"/>
          <w:i/>
          <w:iCs/>
        </w:rPr>
        <w:t>Scientific Studies of Reading</w:t>
      </w:r>
      <w:r w:rsidRPr="00BF4984">
        <w:rPr>
          <w:rFonts w:eastAsia="Times New Roman"/>
        </w:rPr>
        <w:t>, 9(2), 167-188.</w:t>
      </w:r>
      <w:proofErr w:type="gramEnd"/>
      <w:r w:rsidRPr="00BF4984">
        <w:rPr>
          <w:rFonts w:eastAsia="Times New Roman"/>
        </w:rPr>
        <w:t xml:space="preserve"> </w:t>
      </w:r>
    </w:p>
    <w:p w:rsidR="00AD34C7" w:rsidRDefault="00AD34C7" w:rsidP="00AD34C7">
      <w:pPr>
        <w:ind w:left="960" w:hanging="720"/>
        <w:rPr>
          <w:rFonts w:eastAsia="Times New Roman"/>
        </w:rPr>
      </w:pPr>
      <w:r w:rsidRPr="00851237">
        <w:rPr>
          <w:rFonts w:eastAsia="Times New Roman"/>
          <w:color w:val="121212"/>
        </w:rPr>
        <w:t xml:space="preserve">Ferraro, C., </w:t>
      </w:r>
      <w:proofErr w:type="spellStart"/>
      <w:r w:rsidRPr="00851237">
        <w:rPr>
          <w:rFonts w:eastAsia="Times New Roman"/>
          <w:color w:val="121212"/>
        </w:rPr>
        <w:t>Doheny</w:t>
      </w:r>
      <w:proofErr w:type="spellEnd"/>
      <w:r w:rsidRPr="00851237">
        <w:rPr>
          <w:rFonts w:eastAsia="Times New Roman"/>
          <w:color w:val="121212"/>
        </w:rPr>
        <w:t xml:space="preserve">, J., &amp; </w:t>
      </w:r>
      <w:proofErr w:type="spellStart"/>
      <w:r w:rsidRPr="00851237">
        <w:rPr>
          <w:rFonts w:eastAsia="Times New Roman"/>
          <w:color w:val="121212"/>
        </w:rPr>
        <w:t>Marcell</w:t>
      </w:r>
      <w:proofErr w:type="spellEnd"/>
      <w:r w:rsidRPr="00851237">
        <w:rPr>
          <w:rFonts w:eastAsia="Times New Roman"/>
          <w:color w:val="121212"/>
        </w:rPr>
        <w:t xml:space="preserve">, B. (2009). A Field Trip to the Fluency Farm: Corralling Decoding, Fluency, and Comprehension Strategies to Enhance Metacognition in Primary Students. </w:t>
      </w:r>
      <w:proofErr w:type="gramStart"/>
      <w:r w:rsidRPr="00851237">
        <w:rPr>
          <w:rFonts w:eastAsia="Times New Roman"/>
          <w:color w:val="121212"/>
        </w:rPr>
        <w:t>Illinois Reading Council Journal, 38(1), 6-14.</w:t>
      </w:r>
      <w:proofErr w:type="gramEnd"/>
      <w:r w:rsidRPr="00851237">
        <w:rPr>
          <w:rFonts w:eastAsia="Times New Roman"/>
          <w:color w:val="121212"/>
        </w:rPr>
        <w:t xml:space="preserve"> </w:t>
      </w:r>
    </w:p>
    <w:p w:rsidR="00AD34C7" w:rsidRDefault="00AD34C7" w:rsidP="00AD34C7">
      <w:pPr>
        <w:ind w:left="960" w:hanging="720"/>
        <w:rPr>
          <w:rFonts w:eastAsia="Times New Roman"/>
        </w:rPr>
      </w:pPr>
      <w:r w:rsidRPr="00BF4984">
        <w:rPr>
          <w:rFonts w:eastAsia="Times New Roman"/>
          <w:color w:val="121212"/>
        </w:rPr>
        <w:t xml:space="preserve">Gaskins, I. W., Illinois Univ., U. g., Bolt, B. A., &amp; And, O. (1988). A Metacognitive Approach to Phonics: Using What You Know To Decode What You Don't Know. </w:t>
      </w:r>
      <w:proofErr w:type="gramStart"/>
      <w:r w:rsidRPr="00BF4984">
        <w:rPr>
          <w:rFonts w:eastAsia="Times New Roman"/>
          <w:color w:val="121212"/>
        </w:rPr>
        <w:t>Technical Report No. 424.</w:t>
      </w:r>
      <w:proofErr w:type="gramEnd"/>
    </w:p>
    <w:p w:rsidR="00AD34C7" w:rsidRPr="00AD34C7" w:rsidRDefault="00AD34C7" w:rsidP="00AD34C7">
      <w:pPr>
        <w:ind w:left="960" w:hanging="720"/>
        <w:rPr>
          <w:rFonts w:eastAsia="Times New Roman"/>
        </w:rPr>
      </w:pPr>
      <w:r w:rsidRPr="00BF4984">
        <w:rPr>
          <w:rFonts w:eastAsia="Times New Roman"/>
        </w:rPr>
        <w:t xml:space="preserve">Herman, P. A. (1985). The effect of repeated readings on reading rate, speech pauses, and word recognition accuracy. </w:t>
      </w:r>
      <w:proofErr w:type="gramStart"/>
      <w:r w:rsidRPr="00BF4984">
        <w:rPr>
          <w:rFonts w:eastAsia="Times New Roman"/>
          <w:i/>
          <w:iCs/>
        </w:rPr>
        <w:t>Reading Research Quarterly</w:t>
      </w:r>
      <w:r w:rsidRPr="00BF4984">
        <w:rPr>
          <w:rFonts w:eastAsia="Times New Roman"/>
        </w:rPr>
        <w:t xml:space="preserve">, </w:t>
      </w:r>
      <w:r w:rsidRPr="00BF4984">
        <w:rPr>
          <w:rFonts w:eastAsia="Times New Roman"/>
          <w:i/>
          <w:iCs/>
        </w:rPr>
        <w:t>20</w:t>
      </w:r>
      <w:r w:rsidRPr="00BF4984">
        <w:rPr>
          <w:rFonts w:eastAsia="Times New Roman"/>
        </w:rPr>
        <w:t>(5), 553-565.</w:t>
      </w:r>
      <w:proofErr w:type="gramEnd"/>
      <w:r w:rsidRPr="00BF4984">
        <w:rPr>
          <w:rFonts w:eastAsia="Times New Roman"/>
        </w:rPr>
        <w:t xml:space="preserve"> </w:t>
      </w:r>
    </w:p>
    <w:p w:rsidR="00AD34C7" w:rsidRDefault="00AD34C7" w:rsidP="00AD34C7">
      <w:pPr>
        <w:ind w:left="960" w:hanging="720"/>
        <w:rPr>
          <w:rFonts w:eastAsia="Times New Roman"/>
          <w:color w:val="121212"/>
        </w:rPr>
      </w:pPr>
      <w:proofErr w:type="spellStart"/>
      <w:r>
        <w:rPr>
          <w:rFonts w:eastAsia="Times New Roman"/>
          <w:color w:val="121212"/>
        </w:rPr>
        <w:t>LaBerge</w:t>
      </w:r>
      <w:proofErr w:type="spellEnd"/>
      <w:r>
        <w:rPr>
          <w:rFonts w:eastAsia="Times New Roman"/>
          <w:color w:val="121212"/>
        </w:rPr>
        <w:t xml:space="preserve">, D., &amp; Samuels, S.J. (1974). </w:t>
      </w:r>
      <w:proofErr w:type="gramStart"/>
      <w:r>
        <w:rPr>
          <w:rFonts w:eastAsia="Times New Roman"/>
          <w:color w:val="121212"/>
        </w:rPr>
        <w:t>Towards a theory of automatic information processing in reading.</w:t>
      </w:r>
      <w:proofErr w:type="gramEnd"/>
      <w:r>
        <w:rPr>
          <w:rFonts w:eastAsia="Times New Roman"/>
          <w:color w:val="121212"/>
        </w:rPr>
        <w:t xml:space="preserve"> </w:t>
      </w:r>
      <w:proofErr w:type="gramStart"/>
      <w:r w:rsidRPr="00AD34C7">
        <w:rPr>
          <w:rFonts w:eastAsia="Times New Roman"/>
          <w:i/>
          <w:color w:val="121212"/>
        </w:rPr>
        <w:t>Cognitive Psychology, 6</w:t>
      </w:r>
      <w:r>
        <w:rPr>
          <w:rFonts w:eastAsia="Times New Roman"/>
          <w:color w:val="121212"/>
        </w:rPr>
        <w:t>, 293-323.</w:t>
      </w:r>
      <w:proofErr w:type="gramEnd"/>
      <w:r>
        <w:rPr>
          <w:rFonts w:eastAsia="Times New Roman"/>
          <w:color w:val="121212"/>
        </w:rPr>
        <w:t xml:space="preserve"> </w:t>
      </w:r>
    </w:p>
    <w:p w:rsidR="0074742B" w:rsidRDefault="00AD34C7" w:rsidP="00AD34C7">
      <w:pPr>
        <w:ind w:left="960" w:hanging="720"/>
        <w:rPr>
          <w:rFonts w:eastAsia="Times New Roman"/>
          <w:color w:val="121212"/>
        </w:rPr>
      </w:pPr>
      <w:proofErr w:type="gramStart"/>
      <w:r w:rsidRPr="00851237">
        <w:rPr>
          <w:rFonts w:eastAsia="Times New Roman"/>
          <w:color w:val="121212"/>
        </w:rPr>
        <w:t>McKenna, M. C., &amp; Kear, D. J. (1990).</w:t>
      </w:r>
      <w:proofErr w:type="gramEnd"/>
      <w:r w:rsidRPr="00851237">
        <w:rPr>
          <w:rFonts w:eastAsia="Times New Roman"/>
          <w:color w:val="121212"/>
        </w:rPr>
        <w:t xml:space="preserve"> Measuring attitude toward reading: A new tool for teachers. </w:t>
      </w:r>
      <w:proofErr w:type="gramStart"/>
      <w:r w:rsidRPr="00851237">
        <w:rPr>
          <w:rFonts w:eastAsia="Times New Roman"/>
          <w:color w:val="121212"/>
        </w:rPr>
        <w:t>Reading Teacher, 43(9), 626-639.</w:t>
      </w:r>
      <w:proofErr w:type="gramEnd"/>
      <w:r w:rsidRPr="00851237">
        <w:rPr>
          <w:rFonts w:eastAsia="Times New Roman"/>
          <w:color w:val="121212"/>
        </w:rPr>
        <w:t xml:space="preserve"> </w:t>
      </w:r>
    </w:p>
    <w:p w:rsidR="00AD34C7" w:rsidRDefault="0074742B" w:rsidP="00AD34C7">
      <w:pPr>
        <w:ind w:left="960" w:hanging="720"/>
        <w:rPr>
          <w:rFonts w:eastAsia="Times New Roman"/>
          <w:color w:val="121212"/>
        </w:rPr>
      </w:pPr>
      <w:proofErr w:type="spellStart"/>
      <w:r w:rsidRPr="0074742B">
        <w:rPr>
          <w:rFonts w:eastAsia="Times New Roman"/>
          <w:color w:val="121212"/>
        </w:rPr>
        <w:t>Nauclér</w:t>
      </w:r>
      <w:proofErr w:type="spellEnd"/>
      <w:r w:rsidRPr="0074742B">
        <w:rPr>
          <w:rFonts w:eastAsia="Times New Roman"/>
          <w:color w:val="121212"/>
        </w:rPr>
        <w:t xml:space="preserve">, K., &amp; Magnusson, E. (2000). </w:t>
      </w:r>
      <w:proofErr w:type="gramStart"/>
      <w:r w:rsidRPr="0074742B">
        <w:rPr>
          <w:rFonts w:eastAsia="Times New Roman"/>
          <w:color w:val="121212"/>
        </w:rPr>
        <w:t>Language problems in poor readers.</w:t>
      </w:r>
      <w:proofErr w:type="gramEnd"/>
      <w:r w:rsidRPr="0074742B">
        <w:rPr>
          <w:rFonts w:eastAsia="Times New Roman"/>
          <w:color w:val="121212"/>
        </w:rPr>
        <w:t xml:space="preserve"> </w:t>
      </w:r>
      <w:proofErr w:type="spellStart"/>
      <w:r w:rsidRPr="00987987">
        <w:rPr>
          <w:rFonts w:eastAsia="Times New Roman"/>
          <w:i/>
          <w:color w:val="121212"/>
        </w:rPr>
        <w:t>Logopedics</w:t>
      </w:r>
      <w:proofErr w:type="spellEnd"/>
      <w:r w:rsidRPr="00987987">
        <w:rPr>
          <w:rFonts w:eastAsia="Times New Roman"/>
          <w:i/>
          <w:color w:val="121212"/>
        </w:rPr>
        <w:t xml:space="preserve"> </w:t>
      </w:r>
      <w:proofErr w:type="spellStart"/>
      <w:r w:rsidRPr="00987987">
        <w:rPr>
          <w:rFonts w:eastAsia="Times New Roman"/>
          <w:i/>
          <w:color w:val="121212"/>
        </w:rPr>
        <w:t>Phoniatrics</w:t>
      </w:r>
      <w:proofErr w:type="spellEnd"/>
      <w:r w:rsidRPr="00987987">
        <w:rPr>
          <w:rFonts w:eastAsia="Times New Roman"/>
          <w:i/>
          <w:color w:val="121212"/>
        </w:rPr>
        <w:t xml:space="preserve"> </w:t>
      </w:r>
      <w:proofErr w:type="spellStart"/>
      <w:r w:rsidRPr="00987987">
        <w:rPr>
          <w:rFonts w:eastAsia="Times New Roman"/>
          <w:i/>
          <w:color w:val="121212"/>
        </w:rPr>
        <w:t>Vocology</w:t>
      </w:r>
      <w:proofErr w:type="spellEnd"/>
      <w:r w:rsidRPr="00987987">
        <w:rPr>
          <w:rFonts w:eastAsia="Times New Roman"/>
          <w:i/>
          <w:color w:val="121212"/>
        </w:rPr>
        <w:t>, 25(1),</w:t>
      </w:r>
      <w:r w:rsidRPr="0074742B">
        <w:rPr>
          <w:rFonts w:eastAsia="Times New Roman"/>
          <w:color w:val="121212"/>
        </w:rPr>
        <w:t xml:space="preserve"> 12-21.</w:t>
      </w:r>
    </w:p>
    <w:p w:rsidR="00AD34C7" w:rsidRDefault="00AD34C7" w:rsidP="00AD34C7">
      <w:pPr>
        <w:ind w:left="960" w:hanging="720"/>
        <w:rPr>
          <w:rFonts w:eastAsia="Times New Roman"/>
          <w:color w:val="121212"/>
        </w:rPr>
      </w:pPr>
      <w:proofErr w:type="spellStart"/>
      <w:r w:rsidRPr="00BF4984">
        <w:rPr>
          <w:rFonts w:eastAsia="Times New Roman"/>
          <w:color w:val="121212"/>
        </w:rPr>
        <w:t>Pikulski</w:t>
      </w:r>
      <w:proofErr w:type="spellEnd"/>
      <w:r w:rsidRPr="00BF4984">
        <w:rPr>
          <w:rFonts w:eastAsia="Times New Roman"/>
          <w:color w:val="121212"/>
        </w:rPr>
        <w:t xml:space="preserve">, J. J., &amp; Chard, D. J. (2005). Fluency: Bridge between decoding and reading comprehension. </w:t>
      </w:r>
      <w:proofErr w:type="gramStart"/>
      <w:r w:rsidRPr="00BF4984">
        <w:rPr>
          <w:rFonts w:eastAsia="Times New Roman"/>
          <w:i/>
          <w:iCs/>
          <w:color w:val="121212"/>
        </w:rPr>
        <w:t>The Reading Teacher</w:t>
      </w:r>
      <w:r w:rsidRPr="00BF4984">
        <w:rPr>
          <w:rFonts w:eastAsia="Times New Roman"/>
          <w:color w:val="121212"/>
        </w:rPr>
        <w:t xml:space="preserve">, </w:t>
      </w:r>
      <w:r w:rsidRPr="00BF4984">
        <w:rPr>
          <w:rFonts w:eastAsia="Times New Roman"/>
          <w:i/>
          <w:iCs/>
          <w:color w:val="121212"/>
        </w:rPr>
        <w:t>58</w:t>
      </w:r>
      <w:r w:rsidRPr="00BF4984">
        <w:rPr>
          <w:rFonts w:eastAsia="Times New Roman"/>
          <w:color w:val="121212"/>
        </w:rPr>
        <w:t>(6), 510-519.</w:t>
      </w:r>
      <w:proofErr w:type="gramEnd"/>
      <w:r w:rsidRPr="00BF4984">
        <w:rPr>
          <w:rFonts w:eastAsia="Times New Roman"/>
          <w:color w:val="121212"/>
        </w:rPr>
        <w:t xml:space="preserve"> </w:t>
      </w:r>
    </w:p>
    <w:p w:rsidR="00807550" w:rsidRDefault="00AD34C7" w:rsidP="00AD34C7">
      <w:pPr>
        <w:ind w:left="960" w:hanging="720"/>
        <w:rPr>
          <w:rFonts w:eastAsia="Times New Roman"/>
          <w:color w:val="121212"/>
        </w:rPr>
      </w:pPr>
      <w:proofErr w:type="spellStart"/>
      <w:r>
        <w:rPr>
          <w:rFonts w:eastAsia="Times New Roman"/>
          <w:color w:val="121212"/>
        </w:rPr>
        <w:t>Ranski</w:t>
      </w:r>
      <w:proofErr w:type="spellEnd"/>
      <w:r>
        <w:rPr>
          <w:rFonts w:eastAsia="Times New Roman"/>
          <w:color w:val="121212"/>
        </w:rPr>
        <w:t xml:space="preserve">, T. &amp; Young, C. (2009). Implementing </w:t>
      </w:r>
      <w:proofErr w:type="gramStart"/>
      <w:r>
        <w:rPr>
          <w:rFonts w:eastAsia="Times New Roman"/>
          <w:color w:val="121212"/>
        </w:rPr>
        <w:t>readers</w:t>
      </w:r>
      <w:proofErr w:type="gramEnd"/>
      <w:r>
        <w:rPr>
          <w:rFonts w:eastAsia="Times New Roman"/>
          <w:color w:val="121212"/>
        </w:rPr>
        <w:t xml:space="preserve"> </w:t>
      </w:r>
      <w:proofErr w:type="spellStart"/>
      <w:r>
        <w:rPr>
          <w:rFonts w:eastAsia="Times New Roman"/>
          <w:color w:val="121212"/>
        </w:rPr>
        <w:t>theatere</w:t>
      </w:r>
      <w:proofErr w:type="spellEnd"/>
      <w:r>
        <w:rPr>
          <w:rFonts w:eastAsia="Times New Roman"/>
          <w:color w:val="121212"/>
        </w:rPr>
        <w:t xml:space="preserve"> as an approach to classroom fluency instruction. </w:t>
      </w:r>
      <w:r>
        <w:rPr>
          <w:rFonts w:eastAsia="Times New Roman"/>
          <w:i/>
          <w:color w:val="121212"/>
        </w:rPr>
        <w:t>The Reading Teacher, 63(1)</w:t>
      </w:r>
      <w:r>
        <w:rPr>
          <w:rFonts w:eastAsia="Times New Roman"/>
          <w:color w:val="121212"/>
        </w:rPr>
        <w:t xml:space="preserve">, 4 – 13. </w:t>
      </w:r>
    </w:p>
    <w:p w:rsidR="00AD34C7" w:rsidRDefault="00807550" w:rsidP="00AD34C7">
      <w:pPr>
        <w:ind w:left="960" w:hanging="720"/>
        <w:rPr>
          <w:rFonts w:eastAsia="Times New Roman"/>
          <w:color w:val="121212"/>
        </w:rPr>
      </w:pPr>
      <w:r w:rsidRPr="00807550">
        <w:rPr>
          <w:rFonts w:eastAsia="Times New Roman"/>
          <w:color w:val="121212"/>
        </w:rPr>
        <w:t xml:space="preserve">Swanson, P. N., &amp; De La Paz, S. (1998). Teaching effective comprehension strategies to students with learning and reading disabilities. </w:t>
      </w:r>
      <w:proofErr w:type="gramStart"/>
      <w:r w:rsidRPr="00807550">
        <w:rPr>
          <w:rFonts w:eastAsia="Times New Roman"/>
          <w:i/>
          <w:iCs/>
          <w:color w:val="121212"/>
        </w:rPr>
        <w:t>Intervention in School and Clinic</w:t>
      </w:r>
      <w:r w:rsidRPr="00807550">
        <w:rPr>
          <w:rFonts w:eastAsia="Times New Roman"/>
          <w:color w:val="121212"/>
        </w:rPr>
        <w:t xml:space="preserve">, </w:t>
      </w:r>
      <w:r w:rsidRPr="00807550">
        <w:rPr>
          <w:rFonts w:eastAsia="Times New Roman"/>
          <w:i/>
          <w:iCs/>
          <w:color w:val="121212"/>
        </w:rPr>
        <w:t>33</w:t>
      </w:r>
      <w:r w:rsidRPr="00807550">
        <w:rPr>
          <w:rFonts w:eastAsia="Times New Roman"/>
          <w:color w:val="121212"/>
        </w:rPr>
        <w:t>(4), 209-218.</w:t>
      </w:r>
      <w:proofErr w:type="gramEnd"/>
    </w:p>
    <w:p w:rsidR="00AD34C7" w:rsidRPr="00AD34C7" w:rsidRDefault="00AD34C7" w:rsidP="00AD34C7">
      <w:pPr>
        <w:ind w:left="960" w:hanging="720"/>
        <w:rPr>
          <w:rFonts w:eastAsia="Times New Roman"/>
          <w:color w:val="121212"/>
        </w:rPr>
      </w:pPr>
      <w:proofErr w:type="spellStart"/>
      <w:r w:rsidRPr="00BF4984">
        <w:rPr>
          <w:rFonts w:eastAsia="Times New Roman"/>
          <w:color w:val="121212"/>
        </w:rPr>
        <w:t>Wilfong</w:t>
      </w:r>
      <w:proofErr w:type="spellEnd"/>
      <w:r w:rsidRPr="00BF4984">
        <w:rPr>
          <w:rFonts w:eastAsia="Times New Roman"/>
          <w:color w:val="121212"/>
        </w:rPr>
        <w:t xml:space="preserve">, L.G. (2008). Building fluency, word recognition, ability and confidence in struggling readers: The poetry academy. </w:t>
      </w:r>
      <w:r w:rsidRPr="00BF4984">
        <w:rPr>
          <w:rFonts w:eastAsia="Times New Roman"/>
          <w:i/>
          <w:iCs/>
          <w:color w:val="121212"/>
        </w:rPr>
        <w:t xml:space="preserve">The Reading Teacher, 62(1), </w:t>
      </w:r>
      <w:r w:rsidRPr="00BF4984">
        <w:rPr>
          <w:rFonts w:eastAsia="Times New Roman"/>
          <w:color w:val="121212"/>
        </w:rPr>
        <w:t>4 – 13.</w:t>
      </w:r>
    </w:p>
    <w:p w:rsidR="00AD34C7" w:rsidRPr="00AD34C7" w:rsidRDefault="00AD34C7" w:rsidP="00AD34C7">
      <w:pPr>
        <w:ind w:left="960" w:hanging="720"/>
        <w:rPr>
          <w:rFonts w:eastAsia="Times New Roman"/>
        </w:rPr>
      </w:pPr>
    </w:p>
    <w:p w:rsidR="00052A4A" w:rsidRPr="00052A4A" w:rsidRDefault="00052A4A" w:rsidP="00AD34C7">
      <w:pPr>
        <w:spacing w:after="0" w:line="480" w:lineRule="auto"/>
        <w:ind w:firstLine="720"/>
        <w:rPr>
          <w:rFonts w:ascii="Times New Roman" w:hAnsi="Times New Roman"/>
        </w:rPr>
      </w:pPr>
    </w:p>
    <w:sectPr w:rsidR="00052A4A" w:rsidRPr="00052A4A" w:rsidSect="00052A4A">
      <w:headerReference w:type="even" r:id="rId6"/>
      <w:headerReference w:type="default" r:id="rId7"/>
      <w:headerReference w:type="first" r:id="rId8"/>
      <w:pgSz w:w="12240" w:h="15840"/>
      <w:pgMar w:top="1440" w:right="1440" w:bottom="1440" w:left="1440" w:gutter="0"/>
      <w:titlePg/>
      <w:printerSettings r:id="rId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50" w:rsidRDefault="00C14B53" w:rsidP="00052A4A">
    <w:pPr>
      <w:pStyle w:val="Header"/>
      <w:framePr w:wrap="around" w:vAnchor="text" w:hAnchor="margin" w:xAlign="right" w:y="1"/>
      <w:rPr>
        <w:rStyle w:val="PageNumber"/>
      </w:rPr>
    </w:pPr>
    <w:r>
      <w:rPr>
        <w:rStyle w:val="PageNumber"/>
      </w:rPr>
      <w:fldChar w:fldCharType="begin"/>
    </w:r>
    <w:r w:rsidR="00807550">
      <w:rPr>
        <w:rStyle w:val="PageNumber"/>
      </w:rPr>
      <w:instrText xml:space="preserve">PAGE  </w:instrText>
    </w:r>
    <w:r>
      <w:rPr>
        <w:rStyle w:val="PageNumber"/>
      </w:rPr>
      <w:fldChar w:fldCharType="end"/>
    </w:r>
  </w:p>
  <w:p w:rsidR="00807550" w:rsidRDefault="00807550" w:rsidP="00052A4A">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50" w:rsidRDefault="00C14B53" w:rsidP="00052A4A">
    <w:pPr>
      <w:pStyle w:val="Header"/>
      <w:framePr w:wrap="around" w:vAnchor="text" w:hAnchor="margin" w:xAlign="right" w:y="1"/>
      <w:rPr>
        <w:rStyle w:val="PageNumber"/>
      </w:rPr>
    </w:pPr>
    <w:r>
      <w:rPr>
        <w:rStyle w:val="PageNumber"/>
      </w:rPr>
      <w:fldChar w:fldCharType="begin"/>
    </w:r>
    <w:r w:rsidR="00807550">
      <w:rPr>
        <w:rStyle w:val="PageNumber"/>
      </w:rPr>
      <w:instrText xml:space="preserve">PAGE  </w:instrText>
    </w:r>
    <w:r>
      <w:rPr>
        <w:rStyle w:val="PageNumber"/>
      </w:rPr>
      <w:fldChar w:fldCharType="separate"/>
    </w:r>
    <w:r w:rsidR="00FE4F89">
      <w:rPr>
        <w:rStyle w:val="PageNumber"/>
        <w:noProof/>
      </w:rPr>
      <w:t>2</w:t>
    </w:r>
    <w:r>
      <w:rPr>
        <w:rStyle w:val="PageNumber"/>
      </w:rPr>
      <w:fldChar w:fldCharType="end"/>
    </w:r>
  </w:p>
  <w:p w:rsidR="00807550" w:rsidRDefault="00807550" w:rsidP="00052A4A">
    <w:pPr>
      <w:spacing w:after="0" w:line="360" w:lineRule="auto"/>
    </w:pPr>
    <w:r>
      <w:t xml:space="preserve">Teaching Metacognitive Strategies to Improve Accuracy and Fluency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50" w:rsidRDefault="00C14B53" w:rsidP="00052A4A">
    <w:pPr>
      <w:pStyle w:val="Header"/>
      <w:framePr w:wrap="around" w:vAnchor="text" w:hAnchor="margin" w:xAlign="right" w:y="1"/>
      <w:rPr>
        <w:rStyle w:val="PageNumber"/>
      </w:rPr>
    </w:pPr>
    <w:r>
      <w:rPr>
        <w:rStyle w:val="PageNumber"/>
      </w:rPr>
      <w:fldChar w:fldCharType="begin"/>
    </w:r>
    <w:r w:rsidR="00807550">
      <w:rPr>
        <w:rStyle w:val="PageNumber"/>
      </w:rPr>
      <w:instrText xml:space="preserve">PAGE  </w:instrText>
    </w:r>
    <w:r>
      <w:rPr>
        <w:rStyle w:val="PageNumber"/>
      </w:rPr>
      <w:fldChar w:fldCharType="separate"/>
    </w:r>
    <w:r w:rsidR="00FE4F89">
      <w:rPr>
        <w:rStyle w:val="PageNumber"/>
        <w:noProof/>
      </w:rPr>
      <w:t>1</w:t>
    </w:r>
    <w:r>
      <w:rPr>
        <w:rStyle w:val="PageNumber"/>
      </w:rPr>
      <w:fldChar w:fldCharType="end"/>
    </w:r>
  </w:p>
  <w:p w:rsidR="00807550" w:rsidRDefault="00807550" w:rsidP="00052A4A">
    <w:pPr>
      <w:spacing w:after="0" w:line="360" w:lineRule="auto"/>
      <w:ind w:right="360"/>
    </w:pPr>
    <w:r>
      <w:t xml:space="preserve">Running Head: Teaching Metacognitive Strategies to Improve Accuracy and Fluency </w:t>
    </w:r>
  </w:p>
  <w:p w:rsidR="00807550" w:rsidRDefault="008075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8"/>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52A4A"/>
    <w:rsid w:val="00017561"/>
    <w:rsid w:val="000518B2"/>
    <w:rsid w:val="00052A4A"/>
    <w:rsid w:val="000A3842"/>
    <w:rsid w:val="000A5ABB"/>
    <w:rsid w:val="000B28E5"/>
    <w:rsid w:val="000D0BA9"/>
    <w:rsid w:val="001106CC"/>
    <w:rsid w:val="00126A41"/>
    <w:rsid w:val="00166901"/>
    <w:rsid w:val="00183C8D"/>
    <w:rsid w:val="001A7A87"/>
    <w:rsid w:val="001B3AA8"/>
    <w:rsid w:val="001E7C5A"/>
    <w:rsid w:val="001F6EF6"/>
    <w:rsid w:val="00226261"/>
    <w:rsid w:val="00230F40"/>
    <w:rsid w:val="00244555"/>
    <w:rsid w:val="00271A1F"/>
    <w:rsid w:val="002720AC"/>
    <w:rsid w:val="002746F8"/>
    <w:rsid w:val="002C1E22"/>
    <w:rsid w:val="002E1D7B"/>
    <w:rsid w:val="003671C6"/>
    <w:rsid w:val="003D4334"/>
    <w:rsid w:val="003E5163"/>
    <w:rsid w:val="003F1C94"/>
    <w:rsid w:val="00435128"/>
    <w:rsid w:val="004F6DBF"/>
    <w:rsid w:val="005970AC"/>
    <w:rsid w:val="00624E75"/>
    <w:rsid w:val="006A63C6"/>
    <w:rsid w:val="006C5E51"/>
    <w:rsid w:val="006E417B"/>
    <w:rsid w:val="006E495A"/>
    <w:rsid w:val="00723934"/>
    <w:rsid w:val="00730714"/>
    <w:rsid w:val="0074742B"/>
    <w:rsid w:val="00754E66"/>
    <w:rsid w:val="00775E90"/>
    <w:rsid w:val="007B6D51"/>
    <w:rsid w:val="007C4531"/>
    <w:rsid w:val="007D4B11"/>
    <w:rsid w:val="007E4ABE"/>
    <w:rsid w:val="007F0B50"/>
    <w:rsid w:val="007F660B"/>
    <w:rsid w:val="008008E0"/>
    <w:rsid w:val="00807550"/>
    <w:rsid w:val="00812645"/>
    <w:rsid w:val="008344F6"/>
    <w:rsid w:val="0083674F"/>
    <w:rsid w:val="0084590E"/>
    <w:rsid w:val="008E1D67"/>
    <w:rsid w:val="0090283E"/>
    <w:rsid w:val="00987987"/>
    <w:rsid w:val="00997B75"/>
    <w:rsid w:val="009A5DA3"/>
    <w:rsid w:val="009E36C9"/>
    <w:rsid w:val="009F009C"/>
    <w:rsid w:val="00A56237"/>
    <w:rsid w:val="00A70E7E"/>
    <w:rsid w:val="00A84C97"/>
    <w:rsid w:val="00AB6E7B"/>
    <w:rsid w:val="00AD34C7"/>
    <w:rsid w:val="00B47522"/>
    <w:rsid w:val="00BD2235"/>
    <w:rsid w:val="00C009AD"/>
    <w:rsid w:val="00C14B53"/>
    <w:rsid w:val="00C466CE"/>
    <w:rsid w:val="00C64FBE"/>
    <w:rsid w:val="00C94438"/>
    <w:rsid w:val="00CF0763"/>
    <w:rsid w:val="00D55762"/>
    <w:rsid w:val="00D84B1B"/>
    <w:rsid w:val="00D979F3"/>
    <w:rsid w:val="00DF25D7"/>
    <w:rsid w:val="00DF33C6"/>
    <w:rsid w:val="00E5235F"/>
    <w:rsid w:val="00E67C9F"/>
    <w:rsid w:val="00E76E41"/>
    <w:rsid w:val="00E83277"/>
    <w:rsid w:val="00ED06FD"/>
    <w:rsid w:val="00EF4B7A"/>
    <w:rsid w:val="00F44194"/>
    <w:rsid w:val="00F65ADE"/>
    <w:rsid w:val="00F67C23"/>
    <w:rsid w:val="00F9188F"/>
    <w:rsid w:val="00F92652"/>
    <w:rsid w:val="00FE4F8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15F0E"/>
  </w:style>
  <w:style w:type="paragraph" w:styleId="Heading1">
    <w:name w:val="heading 1"/>
    <w:basedOn w:val="Normal"/>
    <w:next w:val="Normal"/>
    <w:link w:val="Heading1Char"/>
    <w:uiPriority w:val="9"/>
    <w:qFormat/>
    <w:rsid w:val="00723934"/>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52A4A"/>
    <w:pPr>
      <w:tabs>
        <w:tab w:val="center" w:pos="4320"/>
        <w:tab w:val="right" w:pos="8640"/>
      </w:tabs>
      <w:spacing w:after="0"/>
    </w:pPr>
  </w:style>
  <w:style w:type="character" w:customStyle="1" w:styleId="HeaderChar">
    <w:name w:val="Header Char"/>
    <w:basedOn w:val="DefaultParagraphFont"/>
    <w:link w:val="Header"/>
    <w:uiPriority w:val="99"/>
    <w:semiHidden/>
    <w:rsid w:val="00052A4A"/>
    <w:rPr>
      <w:sz w:val="24"/>
      <w:szCs w:val="24"/>
    </w:rPr>
  </w:style>
  <w:style w:type="paragraph" w:styleId="Footer">
    <w:name w:val="footer"/>
    <w:basedOn w:val="Normal"/>
    <w:link w:val="FooterChar"/>
    <w:uiPriority w:val="99"/>
    <w:semiHidden/>
    <w:unhideWhenUsed/>
    <w:rsid w:val="00052A4A"/>
    <w:pPr>
      <w:tabs>
        <w:tab w:val="center" w:pos="4320"/>
        <w:tab w:val="right" w:pos="8640"/>
      </w:tabs>
      <w:spacing w:after="0"/>
    </w:pPr>
  </w:style>
  <w:style w:type="character" w:customStyle="1" w:styleId="FooterChar">
    <w:name w:val="Footer Char"/>
    <w:basedOn w:val="DefaultParagraphFont"/>
    <w:link w:val="Footer"/>
    <w:uiPriority w:val="99"/>
    <w:semiHidden/>
    <w:rsid w:val="00052A4A"/>
    <w:rPr>
      <w:sz w:val="24"/>
      <w:szCs w:val="24"/>
    </w:rPr>
  </w:style>
  <w:style w:type="character" w:styleId="PageNumber">
    <w:name w:val="page number"/>
    <w:basedOn w:val="DefaultParagraphFont"/>
    <w:uiPriority w:val="99"/>
    <w:semiHidden/>
    <w:unhideWhenUsed/>
    <w:rsid w:val="00052A4A"/>
  </w:style>
  <w:style w:type="table" w:styleId="LightShading-Accent4">
    <w:name w:val="Light Shading Accent 4"/>
    <w:basedOn w:val="TableNormal"/>
    <w:uiPriority w:val="60"/>
    <w:rsid w:val="00F92652"/>
    <w:pPr>
      <w:spacing w:after="0"/>
    </w:pPr>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uiPriority w:val="9"/>
    <w:rsid w:val="00723934"/>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0B28E5"/>
    <w:pPr>
      <w:ind w:left="720"/>
      <w:contextualSpacing/>
    </w:pPr>
  </w:style>
  <w:style w:type="paragraph" w:styleId="DocumentMap">
    <w:name w:val="Document Map"/>
    <w:basedOn w:val="Normal"/>
    <w:link w:val="DocumentMapChar"/>
    <w:uiPriority w:val="99"/>
    <w:semiHidden/>
    <w:unhideWhenUsed/>
    <w:rsid w:val="00E83277"/>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E83277"/>
    <w:rPr>
      <w:rFonts w:ascii="Lucida Grande" w:hAnsi="Lucida Grande"/>
      <w:sz w:val="24"/>
      <w:szCs w:val="24"/>
    </w:rPr>
  </w:style>
  <w:style w:type="character" w:styleId="Hyperlink">
    <w:name w:val="Hyperlink"/>
    <w:basedOn w:val="DefaultParagraphFont"/>
    <w:uiPriority w:val="99"/>
    <w:semiHidden/>
    <w:unhideWhenUsed/>
    <w:rsid w:val="00EF4B7A"/>
    <w:rPr>
      <w:color w:val="0000FF" w:themeColor="hyperlink"/>
      <w:u w:val="single"/>
    </w:rPr>
  </w:style>
  <w:style w:type="paragraph" w:styleId="BalloonText">
    <w:name w:val="Balloon Text"/>
    <w:basedOn w:val="Normal"/>
    <w:link w:val="BalloonTextChar"/>
    <w:uiPriority w:val="99"/>
    <w:semiHidden/>
    <w:unhideWhenUsed/>
    <w:rsid w:val="00D84B1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4B1B"/>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hyperlink" Target="http://www.gigglepoetry.com" TargetMode="External"/><Relationship Id="rId7" Type="http://schemas.openxmlformats.org/officeDocument/2006/relationships/header" Target="header2.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printerSettings" Target="printerSettings/printerSettings1.bin"/><Relationship Id="rId3" Type="http://schemas.openxmlformats.org/officeDocument/2006/relationships/settings" Target="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AD773-4084-D441-9916-B7483E08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4784</Words>
  <Characters>27269</Characters>
  <Application>Microsoft Macintosh Word</Application>
  <DocSecurity>0</DocSecurity>
  <Lines>227</Lines>
  <Paragraphs>54</Paragraphs>
  <ScaleCrop>false</ScaleCrop>
  <LinksUpToDate>false</LinksUpToDate>
  <CharactersWithSpaces>33488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Ciccarello</dc:creator>
  <cp:keywords/>
  <cp:lastModifiedBy>Lauren Ciccarello</cp:lastModifiedBy>
  <cp:revision>9</cp:revision>
  <cp:lastPrinted>2011-12-06T00:07:00Z</cp:lastPrinted>
  <dcterms:created xsi:type="dcterms:W3CDTF">2011-11-09T02:03:00Z</dcterms:created>
  <dcterms:modified xsi:type="dcterms:W3CDTF">2011-12-06T23:44:00Z</dcterms:modified>
</cp:coreProperties>
</file>